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212708</w:t>
      </w:r>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ind w:left="1980" w:hanging="1980"/>
        <w:textAlignment w:val="auto"/>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pt-BR"/>
        </w:rPr>
        <w:t>On 4Rx MSD for inter-band NR CA</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4.1.1</w:t>
      </w:r>
    </w:p>
    <w:p>
      <w:pPr>
        <w:keepNext w:val="0"/>
        <w:keepLines w:val="0"/>
        <w:pageBreakBefore w:val="0"/>
        <w:widowControl w:val="0"/>
        <w:tabs>
          <w:tab w:val="left" w:pos="1985"/>
        </w:tabs>
        <w:kinsoku/>
        <w:wordWrap/>
        <w:overflowPunct/>
        <w:topLinePunct w:val="0"/>
        <w:autoSpaceDE/>
        <w:autoSpaceDN/>
        <w:bidi w:val="0"/>
        <w:adjustRightInd/>
        <w:spacing w:before="120" w:after="120"/>
        <w:ind w:left="1980" w:hanging="1980"/>
        <w:textAlignment w:val="auto"/>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Currently some bands have already supported 4Rx</w:t>
      </w:r>
      <w:r>
        <w:rPr>
          <w:rFonts w:hint="eastAsia" w:cs="Times New Roman"/>
          <w:bCs/>
          <w:i w:val="0"/>
          <w:iCs/>
          <w:sz w:val="20"/>
          <w:szCs w:val="20"/>
          <w:lang w:val="en-US" w:eastAsia="zh-CN" w:bidi="ar-SA"/>
        </w:rPr>
        <w:t xml:space="preserve"> </w:t>
      </w:r>
      <w:r>
        <w:rPr>
          <w:rFonts w:hint="eastAsia"/>
          <w:sz w:val="20"/>
          <w:szCs w:val="20"/>
          <w:lang w:val="en-US" w:eastAsia="zh-CN"/>
        </w:rPr>
        <w:t>implementation from Rel-15, w</w:t>
      </w:r>
      <w:r>
        <w:rPr>
          <w:rFonts w:hint="eastAsia"/>
          <w:sz w:val="20"/>
          <w:szCs w:val="20"/>
          <w:lang w:eastAsia="zh-TW"/>
        </w:rPr>
        <w:t>ith the consideration of</w:t>
      </w:r>
      <w:r>
        <w:rPr>
          <w:rFonts w:hint="eastAsia"/>
          <w:sz w:val="20"/>
          <w:szCs w:val="20"/>
          <w:lang w:val="en-US" w:eastAsia="zh-CN"/>
        </w:rPr>
        <w:t xml:space="preserve"> different sizes </w:t>
      </w:r>
      <w:r>
        <w:rPr>
          <w:sz w:val="20"/>
          <w:szCs w:val="20"/>
          <w:lang w:val="en-US" w:eastAsia="zh-CN"/>
        </w:rPr>
        <w:t>for different form factors</w:t>
      </w:r>
      <w:r>
        <w:rPr>
          <w:rFonts w:hint="eastAsia" w:eastAsia="宋体" w:cs="Times New Roman"/>
          <w:bCs/>
          <w:i w:val="0"/>
          <w:iCs/>
          <w:sz w:val="20"/>
          <w:szCs w:val="20"/>
          <w:lang w:val="en-US" w:eastAsia="zh-CN" w:bidi="ar-SA"/>
        </w:rPr>
        <w:t xml:space="preserve">. For some high frequency bands such as </w:t>
      </w:r>
      <w:bookmarkStart w:id="3" w:name="OLE_LINK6"/>
      <w:r>
        <w:rPr>
          <w:rFonts w:hint="eastAsia" w:eastAsia="宋体" w:cs="Times New Roman"/>
          <w:bCs/>
          <w:i w:val="0"/>
          <w:iCs/>
          <w:sz w:val="20"/>
          <w:szCs w:val="20"/>
          <w:lang w:val="en-US" w:eastAsia="zh-CN" w:bidi="ar-SA"/>
        </w:rPr>
        <w:t>band n41, band n77/n78/n79, 4Rx shall be the baseline for these operating bands except for two Rx vehicular UE</w:t>
      </w:r>
      <w:bookmarkEnd w:id="3"/>
      <w:r>
        <w:rPr>
          <w:rFonts w:hint="eastAsia" w:eastAsia="宋体" w:cs="Times New Roman"/>
          <w:bCs/>
          <w:i w:val="0"/>
          <w:iCs/>
          <w:sz w:val="20"/>
          <w:szCs w:val="20"/>
          <w:lang w:val="en-US" w:eastAsia="zh-CN" w:bidi="ar-SA"/>
        </w:rPr>
        <w:t xml:space="preserve"> due to small antenna size for high frequency. For some medium frequency bands such as band n1, although 4Rx is supported, it is optional and it could be used for smart phone. However, for </w:t>
      </w:r>
      <w:r>
        <w:rPr>
          <w:rFonts w:hint="eastAsia" w:cs="Times New Roman"/>
          <w:bCs/>
          <w:i w:val="0"/>
          <w:iCs/>
          <w:sz w:val="20"/>
          <w:szCs w:val="20"/>
          <w:lang w:val="en-US" w:eastAsia="zh-CN" w:bidi="ar-SA"/>
        </w:rPr>
        <w:t xml:space="preserve">almost all of the FDD </w:t>
      </w:r>
      <w:r>
        <w:rPr>
          <w:rFonts w:hint="eastAsia" w:eastAsia="宋体" w:cs="Times New Roman"/>
          <w:bCs/>
          <w:i w:val="0"/>
          <w:iCs/>
          <w:sz w:val="20"/>
          <w:szCs w:val="20"/>
          <w:lang w:val="en-US" w:eastAsia="zh-CN" w:bidi="ar-SA"/>
        </w:rPr>
        <w:t>frequency bands, such as band n28, although 4Rx is supported, it is optional and targeted for FWA form factor due to the large antenna size.</w:t>
      </w:r>
      <w:r>
        <w:rPr>
          <w:rFonts w:hint="eastAsia" w:cs="Times New Roman"/>
          <w:bCs/>
          <w:i w:val="0"/>
          <w:iCs/>
          <w:sz w:val="20"/>
          <w:szCs w:val="20"/>
          <w:lang w:val="en-US" w:eastAsia="zh-CN" w:bidi="ar-SA"/>
        </w:rPr>
        <w:t xml:space="preserve"> The exception is band n7 where </w:t>
      </w:r>
      <w:r>
        <w:rPr>
          <w:rFonts w:hint="eastAsia" w:eastAsia="宋体" w:cs="Times New Roman"/>
          <w:bCs/>
          <w:i w:val="0"/>
          <w:iCs/>
          <w:sz w:val="20"/>
          <w:szCs w:val="20"/>
          <w:lang w:val="en-US" w:eastAsia="zh-CN" w:bidi="ar-SA"/>
        </w:rPr>
        <w:t xml:space="preserve">4Rx </w:t>
      </w:r>
      <w:r>
        <w:rPr>
          <w:rFonts w:hint="eastAsia" w:cs="Times New Roman"/>
          <w:bCs/>
          <w:i w:val="0"/>
          <w:iCs/>
          <w:sz w:val="20"/>
          <w:szCs w:val="20"/>
          <w:lang w:val="en-US" w:eastAsia="zh-CN" w:bidi="ar-SA"/>
        </w:rPr>
        <w:t>is baseline.</w:t>
      </w:r>
    </w:p>
    <w:p>
      <w:pPr>
        <w:keepNext w:val="0"/>
        <w:keepLines w:val="0"/>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Meanwhile, there were lots of inter-band NR CA introduced from Rel-15, MSD requirements caused by IMD are defined for some band combinations who consist of the band(s) supporting 4Rx. However, it seems the 4Rx REFSEN for the applicable single band were not considered for some band combination when the related MSD requirements were defined.</w:t>
      </w:r>
    </w:p>
    <w:p>
      <w:pPr>
        <w:keepNext w:val="0"/>
        <w:keepLines w:val="0"/>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 xml:space="preserve">In this contribution, </w:t>
      </w:r>
      <w:bookmarkStart w:id="4" w:name="OLE_LINK18"/>
      <w:r>
        <w:rPr>
          <w:rFonts w:hint="eastAsia"/>
          <w:bCs/>
          <w:kern w:val="0"/>
          <w:sz w:val="20"/>
          <w:szCs w:val="20"/>
          <w:highlight w:val="none"/>
          <w:lang w:val="en-US" w:eastAsia="zh-CN"/>
        </w:rPr>
        <w:t>we give some discussions on this issue and provide some solutions on how to solve this problem.</w:t>
      </w:r>
      <w:bookmarkEnd w:id="4"/>
      <w:r>
        <w:rPr>
          <w:rFonts w:hint="eastAsia"/>
          <w:bCs/>
          <w:kern w:val="0"/>
          <w:sz w:val="20"/>
          <w:szCs w:val="20"/>
          <w:highlight w:val="none"/>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rPr>
          <w:rFonts w:hint="default" w:cs="Times New Roman"/>
          <w:b/>
          <w:bCs/>
          <w:kern w:val="0"/>
          <w:sz w:val="20"/>
          <w:szCs w:val="20"/>
          <w:highlight w:val="none"/>
          <w:u w:val="single"/>
          <w:lang w:val="en-US" w:eastAsia="zh-CN"/>
        </w:rPr>
      </w:pPr>
      <w:bookmarkStart w:id="5" w:name="OLE_LINK31"/>
      <w:bookmarkStart w:id="6" w:name="OLE_LINK23"/>
      <w:bookmarkStart w:id="7" w:name="OLE_LINK66"/>
      <w:r>
        <w:rPr>
          <w:rFonts w:hint="eastAsia" w:cs="Times New Roman"/>
          <w:b/>
          <w:bCs/>
          <w:kern w:val="0"/>
          <w:sz w:val="20"/>
          <w:szCs w:val="20"/>
          <w:highlight w:val="none"/>
          <w:u w:val="single"/>
          <w:lang w:val="en-US" w:eastAsia="zh-CN"/>
        </w:rPr>
        <w:t>4Rx for LTE inter-band CA</w:t>
      </w:r>
    </w:p>
    <w:bookmarkEnd w:id="5"/>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Actually, for inter-band NR CA/EDNC in Rel-15, it largely depends on LTE CA. For supporting 4Rx, there was a dedicated LTE 4Rx WID, where how to introduce 4Rx requirements for CA was discussed and approved in the [1], where：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default" w:cs="Times New Roman"/>
                <w:b w:val="0"/>
                <w:bCs w:val="0"/>
                <w:i/>
                <w:iCs/>
                <w:kern w:val="0"/>
                <w:sz w:val="20"/>
                <w:szCs w:val="20"/>
                <w:highlight w:val="none"/>
                <w:lang w:val="en-US" w:eastAsia="zh-CN"/>
              </w:rPr>
            </w:pPr>
            <w:r>
              <w:rPr>
                <w:rFonts w:hint="default" w:cs="Times New Roman"/>
                <w:b w:val="0"/>
                <w:bCs w:val="0"/>
                <w:i/>
                <w:iCs/>
                <w:kern w:val="0"/>
                <w:sz w:val="20"/>
                <w:szCs w:val="20"/>
                <w:highlight w:val="none"/>
                <w:lang w:val="en-US" w:eastAsia="zh-CN"/>
              </w:rPr>
              <w:t xml:space="preserve">If a band is introduced to support 4Rx antenna ports in 4Rx band WI, all of the existing carrier aggregations involving that band in the latest spec will automatically support 4Rx for that band in spec, which will be handled in 4Rx big CR. </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cs="Times New Roman"/>
                <w:b w:val="0"/>
                <w:bCs w:val="0"/>
                <w:kern w:val="0"/>
                <w:sz w:val="20"/>
                <w:szCs w:val="20"/>
                <w:highlight w:val="none"/>
                <w:vertAlign w:val="baseline"/>
                <w:lang w:val="en-US" w:eastAsia="zh-CN"/>
              </w:rPr>
            </w:pPr>
            <w:r>
              <w:rPr>
                <w:rFonts w:hint="eastAsia" w:cs="Times New Roman"/>
                <w:b w:val="0"/>
                <w:bCs w:val="0"/>
                <w:i/>
                <w:iCs/>
                <w:kern w:val="0"/>
                <w:sz w:val="20"/>
                <w:szCs w:val="20"/>
                <w:highlight w:val="none"/>
                <w:lang w:val="en-US" w:eastAsia="zh-CN"/>
              </w:rPr>
              <w:t>-</w:t>
            </w:r>
            <w:r>
              <w:rPr>
                <w:rFonts w:hint="default" w:cs="Times New Roman"/>
                <w:b w:val="0"/>
                <w:bCs w:val="0"/>
                <w:i/>
                <w:iCs/>
                <w:kern w:val="0"/>
                <w:sz w:val="20"/>
                <w:szCs w:val="20"/>
                <w:highlight w:val="none"/>
                <w:lang w:val="en-US" w:eastAsia="zh-CN"/>
              </w:rPr>
              <w:t>For example, if Band x is proposed to support 4Rx and xA-yA is already in spec, then Band x 4Rx requirements for single carrier and xA-yA will be introduced in 4Rx band big CR.</w:t>
            </w:r>
          </w:p>
        </w:tc>
      </w:tr>
    </w:tbl>
    <w:p>
      <w:pPr>
        <w:keepNext w:val="0"/>
        <w:keepLines w:val="0"/>
        <w:pageBreakBefore w:val="0"/>
        <w:widowControl w:val="0"/>
        <w:kinsoku/>
        <w:wordWrap/>
        <w:topLinePunct w:val="0"/>
        <w:bidi w:val="0"/>
        <w:snapToGrid/>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Consequently, a general clarification approach was used and no need to list all of the impacted carrier aggregations. For example, there is a common sentence to describe the 4Rx situation for CA in TS36.101.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numPr>
                <w:ilvl w:val="-1"/>
                <w:numId w:val="0"/>
              </w:numPr>
              <w:kinsoku/>
              <w:wordWrap/>
              <w:overflowPunct/>
              <w:topLinePunct w:val="0"/>
              <w:autoSpaceDE/>
              <w:autoSpaceDN/>
              <w:bidi w:val="0"/>
              <w:adjustRightInd/>
              <w:snapToGrid/>
              <w:spacing w:after="180" w:line="240" w:lineRule="auto"/>
              <w:ind w:leftChars="0" w:right="0" w:rightChars="0"/>
              <w:textAlignment w:val="auto"/>
              <w:outlineLvl w:val="9"/>
              <w:rPr>
                <w:i/>
                <w:iCs/>
                <w:sz w:val="20"/>
                <w:szCs w:val="20"/>
              </w:rPr>
            </w:pPr>
            <w:bookmarkStart w:id="8" w:name="_Toc368026363"/>
            <w:r>
              <w:rPr>
                <w:i/>
                <w:iCs/>
                <w:sz w:val="20"/>
                <w:szCs w:val="20"/>
              </w:rPr>
              <w:t>7.3.1A</w:t>
            </w:r>
            <w:r>
              <w:rPr>
                <w:i/>
                <w:iCs/>
                <w:sz w:val="20"/>
                <w:szCs w:val="20"/>
              </w:rPr>
              <w:tab/>
            </w:r>
            <w:r>
              <w:rPr>
                <w:i/>
                <w:iCs/>
                <w:sz w:val="20"/>
                <w:szCs w:val="20"/>
              </w:rPr>
              <w:t>Minimum requirements (QPSK) for CA</w:t>
            </w:r>
            <w:bookmarkEnd w:id="8"/>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i/>
                <w:iCs/>
                <w:sz w:val="20"/>
                <w:szCs w:val="20"/>
                <w:lang w:val="en-US" w:eastAsia="zh-CN"/>
              </w:rPr>
            </w:pPr>
            <w:r>
              <w:rPr>
                <w:rFonts w:hint="eastAsia"/>
                <w:i/>
                <w:iCs/>
                <w:sz w:val="20"/>
                <w:szCs w:val="20"/>
                <w:lang w:val="en-US" w:eastAsia="zh-CN"/>
              </w:rPr>
              <w:t>&lt;...&gt;</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cs="Times New Roman"/>
                <w:b w:val="0"/>
                <w:bCs w:val="0"/>
                <w:kern w:val="0"/>
                <w:sz w:val="20"/>
                <w:szCs w:val="20"/>
                <w:highlight w:val="none"/>
                <w:vertAlign w:val="baseline"/>
                <w:lang w:val="en-US" w:eastAsia="zh-CN"/>
              </w:rPr>
            </w:pPr>
            <w:r>
              <w:rPr>
                <w:i/>
                <w:iCs/>
                <w:sz w:val="20"/>
                <w:szCs w:val="20"/>
              </w:rPr>
              <w:t>For the bands supporting 4 antenna ports</w:t>
            </w:r>
            <w:r>
              <w:rPr>
                <w:rFonts w:hint="eastAsia"/>
                <w:i/>
                <w:iCs/>
                <w:sz w:val="20"/>
                <w:szCs w:val="20"/>
                <w:lang w:eastAsia="zh-CN"/>
              </w:rPr>
              <w:t xml:space="preserve"> which are in </w:t>
            </w:r>
            <w:r>
              <w:rPr>
                <w:i/>
                <w:iCs/>
                <w:sz w:val="20"/>
                <w:szCs w:val="20"/>
              </w:rPr>
              <w:t>Table 7.3.1-1a, the minimum requirements for reference sensitivity in</w:t>
            </w:r>
            <w:r>
              <w:rPr>
                <w:rFonts w:hint="eastAsia"/>
                <w:i/>
                <w:iCs/>
                <w:sz w:val="20"/>
                <w:szCs w:val="20"/>
                <w:lang w:eastAsia="zh-CN"/>
              </w:rPr>
              <w:t xml:space="preserve"> </w:t>
            </w:r>
            <w:r>
              <w:rPr>
                <w:i/>
                <w:iCs/>
                <w:sz w:val="20"/>
                <w:szCs w:val="20"/>
              </w:rPr>
              <w:t xml:space="preserve">the reference sensitivity exception tables </w:t>
            </w:r>
            <w:bookmarkStart w:id="9" w:name="OLE_LINK15"/>
            <w:r>
              <w:rPr>
                <w:i/>
                <w:iCs/>
                <w:sz w:val="20"/>
                <w:szCs w:val="20"/>
              </w:rPr>
              <w:t xml:space="preserve">shall be </w:t>
            </w:r>
            <w:r>
              <w:rPr>
                <w:rFonts w:eastAsia="宋体"/>
                <w:i/>
                <w:iCs/>
                <w:sz w:val="20"/>
                <w:szCs w:val="20"/>
                <w:lang w:eastAsia="zh-CN"/>
              </w:rPr>
              <w:t>modified</w:t>
            </w:r>
            <w:r>
              <w:rPr>
                <w:i/>
                <w:iCs/>
                <w:sz w:val="20"/>
                <w:szCs w:val="20"/>
              </w:rPr>
              <w:t xml:space="preserve"> by the amount given in ΔR</w:t>
            </w:r>
            <w:r>
              <w:rPr>
                <w:i/>
                <w:iCs/>
                <w:sz w:val="20"/>
                <w:szCs w:val="20"/>
                <w:vertAlign w:val="subscript"/>
              </w:rPr>
              <w:t>IB,4R</w:t>
            </w:r>
            <w:bookmarkEnd w:id="9"/>
            <w:r>
              <w:rPr>
                <w:i/>
                <w:iCs/>
                <w:sz w:val="20"/>
                <w:szCs w:val="20"/>
              </w:rPr>
              <w:t xml:space="preserve"> in Table 7.3.1-1a for the applicable E-UTRA bands unless otherwise specified.</w:t>
            </w:r>
          </w:p>
        </w:tc>
      </w:tr>
    </w:tbl>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And there is a NOTE 6 for intermodulation to describe the 4Rx situation for CA, instead list all of the impacted band combination.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default" w:cs="Times New Roman"/>
                <w:b w:val="0"/>
                <w:bCs w:val="0"/>
                <w:kern w:val="0"/>
                <w:sz w:val="20"/>
                <w:szCs w:val="20"/>
                <w:highlight w:val="none"/>
                <w:vertAlign w:val="baseline"/>
                <w:lang w:val="en-US" w:eastAsia="zh-CN"/>
              </w:rPr>
            </w:pPr>
            <w:r>
              <w:rPr>
                <w:rFonts w:cs="Arial"/>
                <w:i/>
                <w:iCs/>
                <w:sz w:val="20"/>
                <w:szCs w:val="20"/>
              </w:rPr>
              <w:t>NOTE 6:</w:t>
            </w:r>
            <w:r>
              <w:rPr>
                <w:rFonts w:cs="Arial"/>
                <w:i/>
                <w:iCs/>
                <w:sz w:val="20"/>
                <w:szCs w:val="20"/>
                <w:lang w:eastAsia="en-US"/>
              </w:rPr>
              <w:tab/>
            </w:r>
            <w:bookmarkStart w:id="10" w:name="OLE_LINK38"/>
            <w:r>
              <w:rPr>
                <w:i/>
                <w:iCs/>
                <w:sz w:val="20"/>
                <w:szCs w:val="20"/>
              </w:rPr>
              <w:t xml:space="preserve">For operations with 4 antenna ports, the MSD </w:t>
            </w:r>
            <w:bookmarkStart w:id="11" w:name="OLE_LINK30"/>
            <w:r>
              <w:rPr>
                <w:i/>
                <w:iCs/>
                <w:sz w:val="20"/>
                <w:szCs w:val="20"/>
              </w:rPr>
              <w:t>in the applicable bands</w:t>
            </w:r>
            <w:bookmarkEnd w:id="11"/>
            <w:r>
              <w:rPr>
                <w:i/>
                <w:iCs/>
                <w:sz w:val="20"/>
                <w:szCs w:val="20"/>
              </w:rPr>
              <w:t xml:space="preserve"> shall be </w:t>
            </w:r>
            <w:r>
              <w:rPr>
                <w:rFonts w:eastAsia="宋体"/>
                <w:i/>
                <w:iCs/>
                <w:sz w:val="20"/>
                <w:szCs w:val="20"/>
                <w:lang w:eastAsia="zh-CN"/>
              </w:rPr>
              <w:t>modified</w:t>
            </w:r>
            <w:r>
              <w:rPr>
                <w:i/>
                <w:iCs/>
                <w:sz w:val="20"/>
                <w:szCs w:val="20"/>
              </w:rPr>
              <w:t xml:space="preserve"> by the absolute value of ΔR</w:t>
            </w:r>
            <w:r>
              <w:rPr>
                <w:i/>
                <w:iCs/>
                <w:sz w:val="20"/>
                <w:szCs w:val="20"/>
                <w:vertAlign w:val="subscript"/>
              </w:rPr>
              <w:t>IB,4R</w:t>
            </w:r>
            <w:r>
              <w:rPr>
                <w:i/>
                <w:iCs/>
                <w:sz w:val="20"/>
                <w:szCs w:val="20"/>
              </w:rPr>
              <w:t xml:space="preserve"> in Table 7.3.1-1a when MSD &gt; 0.</w:t>
            </w:r>
            <w:bookmarkEnd w:id="10"/>
          </w:p>
        </w:tc>
      </w:tr>
    </w:tbl>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b/>
          <w:bCs w:val="0"/>
          <w:i/>
          <w:iCs w:val="0"/>
          <w:sz w:val="20"/>
          <w:szCs w:val="20"/>
          <w:lang w:val="en-US" w:eastAsia="zh-CN"/>
        </w:rPr>
      </w:pPr>
      <w:bookmarkStart w:id="12" w:name="OLE_LINK34"/>
      <w:bookmarkStart w:id="13" w:name="OLE_LINK27"/>
      <w:r>
        <w:rPr>
          <w:rFonts w:hint="eastAsia"/>
          <w:b/>
          <w:bCs w:val="0"/>
          <w:i/>
          <w:iCs w:val="0"/>
          <w:sz w:val="20"/>
          <w:szCs w:val="20"/>
          <w:lang w:val="en-US" w:eastAsia="zh-CN"/>
        </w:rPr>
        <w:t xml:space="preserve">Observation 1: For the 4Rx IMD MSD </w:t>
      </w:r>
      <w:r>
        <w:rPr>
          <w:rFonts w:hint="eastAsia"/>
          <w:b/>
          <w:i/>
          <w:iCs w:val="0"/>
          <w:sz w:val="20"/>
          <w:szCs w:val="20"/>
        </w:rPr>
        <w:t>in the applicable bands</w:t>
      </w:r>
      <w:r>
        <w:rPr>
          <w:rFonts w:hint="eastAsia"/>
          <w:b/>
          <w:i/>
          <w:iCs w:val="0"/>
          <w:sz w:val="20"/>
          <w:szCs w:val="20"/>
          <w:lang w:val="en-US" w:eastAsia="zh-CN"/>
        </w:rPr>
        <w:t xml:space="preserve"> for </w:t>
      </w:r>
      <w:r>
        <w:rPr>
          <w:rFonts w:hint="eastAsia"/>
          <w:b/>
          <w:bCs w:val="0"/>
          <w:i/>
          <w:iCs w:val="0"/>
          <w:sz w:val="20"/>
          <w:szCs w:val="20"/>
          <w:lang w:val="en-US" w:eastAsia="zh-CN"/>
        </w:rPr>
        <w:t>LTE inter-band CA, a general clarification and a NOTE were used, rather than list of the impacted carrier aggregations.</w:t>
      </w:r>
      <w:bookmarkEnd w:id="12"/>
    </w:p>
    <w:bookmarkEnd w:id="13"/>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Cs/>
          <w:i w:val="0"/>
          <w:iCs/>
          <w:sz w:val="21"/>
          <w:szCs w:val="21"/>
          <w:lang w:val="en-US" w:eastAsia="zh-CN" w:bidi="ar-SA"/>
        </w:rPr>
      </w:pPr>
    </w:p>
    <w:p>
      <w:pPr>
        <w:keepNext w:val="0"/>
        <w:keepLines w:val="0"/>
        <w:pageBreakBefore w:val="0"/>
        <w:widowControl w:val="0"/>
        <w:kinsoku/>
        <w:wordWrap/>
        <w:topLinePunct w:val="0"/>
        <w:bidi w:val="0"/>
        <w:snapToGrid/>
        <w:rPr>
          <w:rFonts w:hint="default" w:cs="Times New Roman"/>
          <w:b/>
          <w:bCs/>
          <w:kern w:val="0"/>
          <w:sz w:val="20"/>
          <w:szCs w:val="20"/>
          <w:highlight w:val="none"/>
          <w:u w:val="single"/>
          <w:lang w:val="en-US" w:eastAsia="zh-CN"/>
        </w:rPr>
      </w:pPr>
      <w:r>
        <w:rPr>
          <w:rFonts w:hint="eastAsia" w:cs="Times New Roman"/>
          <w:b/>
          <w:bCs/>
          <w:kern w:val="0"/>
          <w:sz w:val="20"/>
          <w:szCs w:val="20"/>
          <w:highlight w:val="none"/>
          <w:u w:val="single"/>
          <w:lang w:val="en-US" w:eastAsia="zh-CN"/>
        </w:rPr>
        <w:t>4Rx for NR inter-band CA</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cs="Times New Roman"/>
          <w:bCs/>
          <w:i w:val="0"/>
          <w:iCs/>
          <w:sz w:val="20"/>
          <w:szCs w:val="20"/>
          <w:lang w:val="en-US" w:eastAsia="zh-CN" w:bidi="ar-SA"/>
        </w:rPr>
      </w:pPr>
      <w:r>
        <w:rPr>
          <w:rFonts w:hint="eastAsia" w:cs="Times New Roman"/>
          <w:bCs/>
          <w:i w:val="0"/>
          <w:iCs/>
          <w:sz w:val="20"/>
          <w:szCs w:val="20"/>
          <w:lang w:val="en-US" w:eastAsia="zh-CN" w:bidi="ar-SA"/>
        </w:rPr>
        <w:t>In current TS38.101-1 spec, there were already some bands supporting 4Rx from Rel-15. We summarize</w:t>
      </w:r>
      <w:bookmarkStart w:id="14" w:name="OLE_LINK7"/>
      <w:r>
        <w:rPr>
          <w:rFonts w:hint="eastAsia" w:cs="Times New Roman"/>
          <w:bCs/>
          <w:i w:val="0"/>
          <w:iCs/>
          <w:sz w:val="20"/>
          <w:szCs w:val="20"/>
          <w:lang w:val="en-US" w:eastAsia="zh-CN" w:bidi="ar-SA"/>
        </w:rPr>
        <w:t xml:space="preserve"> the applicable bands supporting 4Rx</w:t>
      </w:r>
      <w:bookmarkEnd w:id="14"/>
      <w:r>
        <w:rPr>
          <w:rFonts w:hint="eastAsia" w:cs="Times New Roman"/>
          <w:bCs/>
          <w:i w:val="0"/>
          <w:iCs/>
          <w:sz w:val="20"/>
          <w:szCs w:val="20"/>
          <w:lang w:val="en-US" w:eastAsia="zh-CN" w:bidi="ar-SA"/>
        </w:rPr>
        <w:t xml:space="preserve"> in table 1.</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sz w:val="20"/>
          <w:szCs w:val="20"/>
          <w:lang w:val="en-US"/>
        </w:rPr>
      </w:pPr>
      <w:r>
        <w:rPr>
          <w:rFonts w:hint="eastAsia" w:cs="Times New Roman"/>
          <w:bCs/>
          <w:i w:val="0"/>
          <w:iCs/>
          <w:sz w:val="20"/>
          <w:szCs w:val="20"/>
          <w:lang w:val="en-US" w:eastAsia="zh-CN" w:bidi="ar-SA"/>
        </w:rPr>
        <w:t xml:space="preserve"> Table 1.  the applicable bands supporting 4Rx in Rel-15/16/17 TS38.101-1.</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1"/>
        <w:gridCol w:w="3403"/>
        <w:gridCol w:w="3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Rel-15</w:t>
            </w:r>
          </w:p>
        </w:tc>
        <w:tc>
          <w:tcPr>
            <w:tcW w:w="1723"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eastAsia" w:ascii="Times New Roman" w:hAnsi="Times New Roman" w:cs="Times New Roman"/>
                <w:kern w:val="2"/>
                <w:sz w:val="20"/>
                <w:szCs w:val="20"/>
                <w:lang w:val="en-US" w:eastAsia="zh-CN" w:bidi="ar-SA"/>
              </w:rPr>
              <w:t>Rel-16</w:t>
            </w:r>
          </w:p>
        </w:tc>
        <w:tc>
          <w:tcPr>
            <w:tcW w:w="1751"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eastAsia" w:ascii="Times New Roman" w:hAnsi="Times New Roman" w:cs="Times New Roman"/>
                <w:kern w:val="2"/>
                <w:sz w:val="20"/>
                <w:szCs w:val="20"/>
                <w:lang w:val="en-US" w:eastAsia="zh-CN" w:bidi="ar-SA"/>
              </w:rPr>
              <w:t>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p>
        </w:tc>
        <w:tc>
          <w:tcPr>
            <w:tcW w:w="1723"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vertAlign w:val="superscript"/>
                <w:lang w:val="en-US" w:eastAsia="zh-CN" w:bidi="ar-SA"/>
              </w:rPr>
            </w:pPr>
            <w:r>
              <w:rPr>
                <w:rFonts w:hint="default" w:ascii="Times New Roman" w:hAnsi="Times New Roman" w:eastAsia="宋体" w:cs="Times New Roman"/>
                <w:kern w:val="2"/>
                <w:sz w:val="20"/>
                <w:szCs w:val="20"/>
                <w:lang w:val="en-US" w:eastAsia="zh-CN" w:bidi="ar-SA"/>
              </w:rPr>
              <w:t>n28</w:t>
            </w:r>
            <w:r>
              <w:rPr>
                <w:rFonts w:hint="eastAsia" w:ascii="Times New Roman" w:hAnsi="Times New Roman" w:cs="Times New Roman"/>
                <w:kern w:val="2"/>
                <w:sz w:val="20"/>
                <w:szCs w:val="20"/>
                <w:vertAlign w:val="superscript"/>
                <w:lang w:val="en-US" w:eastAsia="zh-CN" w:bidi="ar-SA"/>
              </w:rPr>
              <w:t>1</w:t>
            </w:r>
            <w:r>
              <w:rPr>
                <w:rFonts w:hint="default" w:ascii="Times New Roman" w:hAnsi="Times New Roman" w:eastAsia="宋体" w:cs="Times New Roman"/>
                <w:kern w:val="2"/>
                <w:sz w:val="20"/>
                <w:szCs w:val="20"/>
                <w:lang w:val="en-US" w:eastAsia="zh-CN" w:bidi="ar-SA"/>
              </w:rPr>
              <w:t>, n71</w:t>
            </w:r>
            <w:r>
              <w:rPr>
                <w:rFonts w:hint="eastAsia" w:ascii="Times New Roman" w:hAnsi="Times New Roman" w:cs="Times New Roman"/>
                <w:kern w:val="2"/>
                <w:sz w:val="20"/>
                <w:szCs w:val="20"/>
                <w:vertAlign w:val="superscript"/>
                <w:lang w:val="en-US" w:eastAsia="zh-CN" w:bidi="ar-SA"/>
              </w:rPr>
              <w:t>1</w:t>
            </w:r>
          </w:p>
        </w:tc>
        <w:tc>
          <w:tcPr>
            <w:tcW w:w="1751"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vertAlign w:val="superscript"/>
                <w:lang w:val="en-US" w:eastAsia="zh-CN" w:bidi="ar-SA"/>
              </w:rPr>
            </w:pPr>
            <w:r>
              <w:rPr>
                <w:rFonts w:hint="default" w:ascii="Times New Roman" w:hAnsi="Times New Roman" w:eastAsia="宋体" w:cs="Times New Roman"/>
                <w:kern w:val="2"/>
                <w:sz w:val="20"/>
                <w:szCs w:val="20"/>
                <w:lang w:val="en-US" w:eastAsia="zh-CN" w:bidi="ar-SA"/>
              </w:rPr>
              <w:t>n8</w:t>
            </w:r>
            <w:r>
              <w:rPr>
                <w:rFonts w:hint="eastAsia" w:ascii="Times New Roman" w:hAnsi="Times New Roman" w:cs="Times New Roman"/>
                <w:kern w:val="2"/>
                <w:sz w:val="20"/>
                <w:szCs w:val="20"/>
                <w:vertAlign w:val="superscript"/>
                <w:lang w:val="en-US" w:eastAsia="zh-CN" w:bidi="ar-SA"/>
              </w:rPr>
              <w:t>1</w:t>
            </w:r>
            <w:r>
              <w:rPr>
                <w:rFonts w:hint="default" w:ascii="Times New Roman" w:hAnsi="Times New Roman" w:eastAsia="宋体" w:cs="Times New Roman"/>
                <w:kern w:val="2"/>
                <w:sz w:val="20"/>
                <w:szCs w:val="20"/>
                <w:lang w:val="en-US" w:eastAsia="zh-CN" w:bidi="ar-SA"/>
              </w:rPr>
              <w:t>, n28</w:t>
            </w:r>
            <w:r>
              <w:rPr>
                <w:rFonts w:hint="eastAsia" w:ascii="Times New Roman" w:hAnsi="Times New Roman" w:cs="Times New Roman"/>
                <w:kern w:val="2"/>
                <w:sz w:val="20"/>
                <w:szCs w:val="20"/>
                <w:vertAlign w:val="superscript"/>
                <w:lang w:val="en-US" w:eastAsia="zh-CN" w:bidi="ar-SA"/>
              </w:rPr>
              <w:t>1</w:t>
            </w:r>
            <w:r>
              <w:rPr>
                <w:rFonts w:hint="default" w:ascii="Times New Roman" w:hAnsi="Times New Roman" w:eastAsia="宋体" w:cs="Times New Roman"/>
                <w:kern w:val="2"/>
                <w:sz w:val="20"/>
                <w:szCs w:val="20"/>
                <w:lang w:val="en-US" w:eastAsia="zh-CN" w:bidi="ar-SA"/>
              </w:rPr>
              <w:t>, n71</w:t>
            </w:r>
            <w:r>
              <w:rPr>
                <w:rFonts w:hint="eastAsia" w:ascii="Times New Roman" w:hAnsi="Times New Roman" w:cs="Times New Roman"/>
                <w:kern w:val="2"/>
                <w:sz w:val="20"/>
                <w:szCs w:val="20"/>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n1, n2, n3, n40, n7, n34, n38, n39, n41, n66, n70</w:t>
            </w:r>
          </w:p>
        </w:tc>
        <w:tc>
          <w:tcPr>
            <w:tcW w:w="1723"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n1, n2, n3, n30, n40, n7, n34, n38, n39, n41, n66, n70</w:t>
            </w:r>
          </w:p>
        </w:tc>
        <w:tc>
          <w:tcPr>
            <w:tcW w:w="1751"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n1, n2, n3, n30, n40, n7, n34, n38, n39, n41, n66,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pct"/>
          </w:tcPr>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n77, n78, n79</w:t>
            </w:r>
          </w:p>
        </w:tc>
        <w:tc>
          <w:tcPr>
            <w:tcW w:w="1723"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n48, n77, n78, n79</w:t>
            </w:r>
          </w:p>
        </w:tc>
        <w:tc>
          <w:tcPr>
            <w:tcW w:w="1751" w:type="pct"/>
            <w:vAlign w:val="center"/>
          </w:tcPr>
          <w:p>
            <w:pPr>
              <w:pStyle w:val="56"/>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n48,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pStyle w:val="56"/>
              <w:keepNext w:val="0"/>
              <w:keepLines w:val="0"/>
              <w:pageBreakBefore w:val="0"/>
              <w:widowControl w:val="0"/>
              <w:kinsoku/>
              <w:wordWrap/>
              <w:overflowPunct w:val="0"/>
              <w:topLinePunct w:val="0"/>
              <w:autoSpaceDE w:val="0"/>
              <w:autoSpaceDN w:val="0"/>
              <w:bidi w:val="0"/>
              <w:adjustRightInd w:val="0"/>
              <w:snapToGrid/>
              <w:spacing w:after="180"/>
              <w:jc w:val="left"/>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NOTE 1:</w:t>
            </w:r>
            <w:r>
              <w:rPr>
                <w:rFonts w:hint="eastAsia" w:ascii="Times New Roman" w:hAnsi="Times New Roman"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4 Rx operation is targeted for FWA form factor</w:t>
            </w:r>
          </w:p>
        </w:tc>
      </w:tr>
    </w:tbl>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bCs/>
          <w:iCs/>
          <w:sz w:val="20"/>
          <w:szCs w:val="20"/>
          <w:lang w:val="en-US" w:eastAsia="zh-CN"/>
        </w:rPr>
      </w:pPr>
      <w:r>
        <w:rPr>
          <w:rFonts w:hint="eastAsia"/>
          <w:sz w:val="20"/>
          <w:szCs w:val="20"/>
          <w:lang w:val="en-US" w:eastAsia="zh-CN"/>
        </w:rPr>
        <w:t xml:space="preserve">It shall be noted that for </w:t>
      </w:r>
      <w:r>
        <w:rPr>
          <w:rFonts w:hint="eastAsia" w:eastAsia="宋体" w:cs="Times New Roman"/>
          <w:bCs/>
          <w:i w:val="0"/>
          <w:iCs/>
          <w:sz w:val="20"/>
          <w:szCs w:val="20"/>
          <w:lang w:val="en-US" w:eastAsia="zh-CN" w:bidi="ar-SA"/>
        </w:rPr>
        <w:t>band n</w:t>
      </w:r>
      <w:r>
        <w:rPr>
          <w:rFonts w:hint="eastAsia" w:cs="Times New Roman"/>
          <w:bCs/>
          <w:i w:val="0"/>
          <w:iCs/>
          <w:sz w:val="20"/>
          <w:szCs w:val="20"/>
          <w:lang w:val="en-US" w:eastAsia="zh-CN" w:bidi="ar-SA"/>
        </w:rPr>
        <w:t>7/n</w:t>
      </w:r>
      <w:r>
        <w:rPr>
          <w:rFonts w:hint="eastAsia" w:eastAsia="宋体" w:cs="Times New Roman"/>
          <w:bCs/>
          <w:i w:val="0"/>
          <w:iCs/>
          <w:sz w:val="20"/>
          <w:szCs w:val="20"/>
          <w:lang w:val="en-US" w:eastAsia="zh-CN" w:bidi="ar-SA"/>
        </w:rPr>
        <w:t>41</w:t>
      </w:r>
      <w:r>
        <w:rPr>
          <w:rFonts w:hint="eastAsia" w:cs="Times New Roman"/>
          <w:bCs/>
          <w:i w:val="0"/>
          <w:iCs/>
          <w:sz w:val="20"/>
          <w:szCs w:val="20"/>
          <w:lang w:val="en-US" w:eastAsia="zh-CN" w:bidi="ar-SA"/>
        </w:rPr>
        <w:t>/</w:t>
      </w:r>
      <w:r>
        <w:rPr>
          <w:rFonts w:hint="eastAsia" w:eastAsia="宋体" w:cs="Times New Roman"/>
          <w:bCs/>
          <w:i w:val="0"/>
          <w:iCs/>
          <w:sz w:val="20"/>
          <w:szCs w:val="20"/>
          <w:lang w:val="en-US" w:eastAsia="zh-CN" w:bidi="ar-SA"/>
        </w:rPr>
        <w:t>n77/n78/n79, 4Rx shall be the baseline for these operating bands except for two Rx vehicular UE</w:t>
      </w:r>
      <w:r>
        <w:rPr>
          <w:rFonts w:hint="eastAsia" w:cs="Times New Roman"/>
          <w:bCs/>
          <w:i w:val="0"/>
          <w:iCs/>
          <w:sz w:val="20"/>
          <w:szCs w:val="20"/>
          <w:lang w:val="en-US" w:eastAsia="zh-CN" w:bidi="ar-SA"/>
        </w:rPr>
        <w:t xml:space="preserve">. While for the other applicable bands, supporting 4Rx </w:t>
      </w:r>
      <w:r>
        <w:rPr>
          <w:rFonts w:hint="eastAsia"/>
          <w:bCs/>
          <w:iCs/>
          <w:sz w:val="20"/>
          <w:szCs w:val="20"/>
          <w:lang w:val="en-US" w:eastAsia="zh-CN"/>
        </w:rPr>
        <w:t>is optional.</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bCs/>
          <w:iCs/>
          <w:sz w:val="20"/>
          <w:szCs w:val="20"/>
          <w:lang w:val="en-US" w:eastAsia="zh-CN"/>
        </w:rPr>
      </w:pPr>
      <w:r>
        <w:rPr>
          <w:rFonts w:hint="eastAsia"/>
          <w:bCs/>
          <w:iCs/>
          <w:sz w:val="20"/>
          <w:szCs w:val="20"/>
          <w:lang w:val="en-US" w:eastAsia="zh-CN"/>
        </w:rPr>
        <w:t xml:space="preserve">In addition, there is some descriptions about the under clause 7.2: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The UE is required to be equipped with a minimum of two Rx antenna ports in all operating bands except for the bands</w:t>
            </w:r>
            <w:r>
              <w:rPr>
                <w:rFonts w:hint="eastAsia" w:ascii="Times New Roman" w:hAnsi="Times New Roman" w:cs="Times New Roman"/>
                <w:i/>
                <w:iCs/>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 xml:space="preserve">n7, n38, n41, n48, n77, n78, n79 where the UE is required to be equipped with a </w:t>
            </w:r>
            <w:bookmarkStart w:id="15" w:name="OLE_LINK10"/>
            <w:r>
              <w:rPr>
                <w:rFonts w:hint="default" w:ascii="Times New Roman" w:hAnsi="Times New Roman" w:eastAsia="宋体" w:cs="Times New Roman"/>
                <w:i/>
                <w:iCs/>
                <w:color w:val="000000"/>
                <w:kern w:val="0"/>
                <w:sz w:val="20"/>
                <w:szCs w:val="20"/>
                <w:lang w:val="en-US" w:eastAsia="zh-CN" w:bidi="ar"/>
              </w:rPr>
              <w:t>minimum of four Rx antenna ports</w:t>
            </w:r>
            <w:bookmarkEnd w:id="15"/>
            <w:r>
              <w:rPr>
                <w:rFonts w:hint="default" w:ascii="Times New Roman" w:hAnsi="Times New Roman" w:eastAsia="宋体" w:cs="Times New Roman"/>
                <w:i/>
                <w:iCs/>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highlight w:val="lightGray"/>
                <w:lang w:val="en-US" w:eastAsia="zh-CN" w:bidi="ar"/>
              </w:rPr>
              <w:t xml:space="preserve">This </w:t>
            </w:r>
            <w:bookmarkStart w:id="16" w:name="OLE_LINK13"/>
            <w:r>
              <w:rPr>
                <w:rFonts w:hint="default" w:ascii="Times New Roman" w:hAnsi="Times New Roman" w:eastAsia="宋体" w:cs="Times New Roman"/>
                <w:i/>
                <w:iCs/>
                <w:color w:val="000000"/>
                <w:kern w:val="0"/>
                <w:sz w:val="20"/>
                <w:szCs w:val="20"/>
                <w:highlight w:val="lightGray"/>
                <w:lang w:val="en-US" w:eastAsia="zh-CN" w:bidi="ar"/>
              </w:rPr>
              <w:t>requirement applies when the band is used as a standalone band or as part of a band combination.</w:t>
            </w:r>
            <w:bookmarkEnd w:id="16"/>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For the single carrier REFSENS requirements in Clause 7, the UE shall be verified with two Rx antenna ports in all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supported frequency bands, additional requirements for four Rx ports shall be verified in operating bands where the UE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is equipped with four Rx antenna ports.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For Rx requirements other than single carrier REFSENS in Clause 7, the UE shall be verified with four Rx antenna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ports and skip two Rx antenna ports requirements in operating bands where the UE is equipped with four Rx antenna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Cs/>
                <w:iCs/>
                <w:sz w:val="20"/>
                <w:szCs w:val="20"/>
                <w:vertAlign w:val="baseline"/>
                <w:lang w:val="en-US" w:eastAsia="zh-CN"/>
              </w:rPr>
            </w:pPr>
            <w:r>
              <w:rPr>
                <w:rFonts w:hint="default" w:ascii="Times New Roman" w:hAnsi="Times New Roman" w:eastAsia="宋体" w:cs="Times New Roman"/>
                <w:i/>
                <w:iCs/>
                <w:color w:val="000000"/>
                <w:kern w:val="0"/>
                <w:sz w:val="20"/>
                <w:szCs w:val="20"/>
                <w:lang w:val="en-US" w:eastAsia="zh-CN" w:bidi="ar"/>
              </w:rPr>
              <w:t xml:space="preserve">ports, otherwise, the UE shall be verified with two Rx antenna ports. </w:t>
            </w:r>
          </w:p>
        </w:tc>
      </w:tr>
    </w:tbl>
    <w:p>
      <w:pPr>
        <w:keepNext w:val="0"/>
        <w:keepLines w:val="0"/>
        <w:pageBreakBefore w:val="0"/>
        <w:widowControl w:val="0"/>
        <w:suppressLineNumbers w:val="0"/>
        <w:kinsoku/>
        <w:wordWrap/>
        <w:topLinePunct w:val="0"/>
        <w:bidi w:val="0"/>
        <w:snapToGrid/>
        <w:jc w:val="left"/>
        <w:rPr>
          <w:rFonts w:hint="default" w:ascii="Times New Roman" w:hAnsi="Times New Roman" w:eastAsia="宋体" w:cs="Times New Roman"/>
          <w:i w:val="0"/>
          <w:iCs w:val="0"/>
          <w:color w:val="000000"/>
          <w:kern w:val="0"/>
          <w:sz w:val="20"/>
          <w:szCs w:val="20"/>
          <w:lang w:val="en-US" w:eastAsia="zh-CN" w:bidi="ar"/>
        </w:rPr>
      </w:pPr>
      <w:r>
        <w:rPr>
          <w:rFonts w:hint="eastAsia" w:ascii="Times New Roman" w:hAnsi="Times New Roman" w:cs="Times New Roman"/>
          <w:i w:val="0"/>
          <w:iCs w:val="0"/>
          <w:color w:val="000000"/>
          <w:kern w:val="0"/>
          <w:sz w:val="20"/>
          <w:szCs w:val="20"/>
          <w:lang w:val="en-US" w:eastAsia="zh-CN" w:bidi="ar"/>
        </w:rPr>
        <w:t xml:space="preserve">It can be seen that </w:t>
      </w:r>
      <w:r>
        <w:rPr>
          <w:rFonts w:hint="default" w:ascii="Times New Roman" w:hAnsi="Times New Roman" w:eastAsia="宋体" w:cs="Times New Roman"/>
          <w:i w:val="0"/>
          <w:iCs w:val="0"/>
          <w:color w:val="000000"/>
          <w:kern w:val="0"/>
          <w:sz w:val="20"/>
          <w:szCs w:val="20"/>
          <w:lang w:val="en-US" w:eastAsia="zh-CN" w:bidi="ar"/>
        </w:rPr>
        <w:t>minimum of four Rx antenna ports</w:t>
      </w:r>
      <w:r>
        <w:rPr>
          <w:rFonts w:hint="eastAsia" w:cs="Times New Roman"/>
          <w:i w:val="0"/>
          <w:iCs w:val="0"/>
          <w:color w:val="000000"/>
          <w:kern w:val="0"/>
          <w:sz w:val="20"/>
          <w:szCs w:val="20"/>
          <w:lang w:val="en-US" w:eastAsia="zh-CN" w:bidi="ar"/>
        </w:rPr>
        <w:t xml:space="preserve"> for a certain band is applied to not only single band operation, but also band combination operation.</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cs="Times New Roman"/>
          <w:b/>
          <w:bCs w:val="0"/>
          <w:i/>
          <w:iCs w:val="0"/>
          <w:sz w:val="20"/>
          <w:szCs w:val="20"/>
          <w:lang w:val="en-US" w:eastAsia="zh-CN" w:bidi="ar-SA"/>
        </w:rPr>
      </w:pPr>
      <w:bookmarkStart w:id="17" w:name="OLE_LINK9"/>
      <w:bookmarkStart w:id="18" w:name="OLE_LINK32"/>
      <w:r>
        <w:rPr>
          <w:rFonts w:hint="eastAsia"/>
          <w:b/>
          <w:bCs w:val="0"/>
          <w:i/>
          <w:iCs w:val="0"/>
          <w:sz w:val="20"/>
          <w:szCs w:val="20"/>
          <w:lang w:val="en-US" w:eastAsia="zh-CN"/>
        </w:rPr>
        <w:t xml:space="preserve">Observation 2: There were several bands supporting 4Rx as optional or mandatory from Rel-15, and the receiver </w:t>
      </w:r>
      <w:r>
        <w:rPr>
          <w:rFonts w:hint="eastAsia" w:ascii="Times New Roman" w:hAnsi="Times New Roman" w:eastAsia="宋体" w:cs="Times New Roman"/>
          <w:b/>
          <w:i/>
          <w:iCs w:val="0"/>
          <w:kern w:val="2"/>
          <w:sz w:val="20"/>
          <w:szCs w:val="20"/>
          <w:lang w:val="en-US" w:eastAsia="zh-CN" w:bidi="ar"/>
        </w:rPr>
        <w:t>requirement applies when the band is used as a standalone band or as part of a band combination</w:t>
      </w:r>
      <w:r>
        <w:rPr>
          <w:rFonts w:hint="eastAsia"/>
          <w:b/>
          <w:bCs w:val="0"/>
          <w:i/>
          <w:iCs w:val="0"/>
          <w:sz w:val="20"/>
          <w:szCs w:val="20"/>
          <w:lang w:val="en-US" w:eastAsia="zh-CN"/>
        </w:rPr>
        <w:t>.</w:t>
      </w:r>
      <w:bookmarkEnd w:id="17"/>
      <w:r>
        <w:rPr>
          <w:rFonts w:hint="eastAsia"/>
          <w:b/>
          <w:bCs w:val="0"/>
          <w:i/>
          <w:iCs w:val="0"/>
          <w:sz w:val="20"/>
          <w:szCs w:val="20"/>
          <w:lang w:val="en-US" w:eastAsia="zh-CN"/>
        </w:rPr>
        <w:t xml:space="preserve"> </w:t>
      </w:r>
    </w:p>
    <w:bookmarkEnd w:id="18"/>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cs="Times New Roman"/>
          <w:bCs/>
          <w:i w:val="0"/>
          <w:iCs/>
          <w:sz w:val="20"/>
          <w:szCs w:val="20"/>
          <w:lang w:val="en-US" w:eastAsia="zh-CN" w:bidi="ar-SA"/>
        </w:rPr>
      </w:pPr>
      <w:r>
        <w:rPr>
          <w:rFonts w:hint="eastAsia" w:cs="Times New Roman"/>
          <w:bCs/>
          <w:i w:val="0"/>
          <w:iCs/>
          <w:sz w:val="20"/>
          <w:szCs w:val="20"/>
          <w:lang w:val="en-US" w:eastAsia="zh-CN" w:bidi="ar-SA"/>
        </w:rPr>
        <w:t>Next, let</w:t>
      </w:r>
      <w:r>
        <w:rPr>
          <w:rFonts w:hint="default" w:cs="Times New Roman"/>
          <w:bCs/>
          <w:i w:val="0"/>
          <w:iCs/>
          <w:sz w:val="20"/>
          <w:szCs w:val="20"/>
          <w:lang w:val="en-US" w:eastAsia="zh-CN" w:bidi="ar-SA"/>
        </w:rPr>
        <w:t>’</w:t>
      </w:r>
      <w:r>
        <w:rPr>
          <w:rFonts w:hint="eastAsia" w:cs="Times New Roman"/>
          <w:bCs/>
          <w:i w:val="0"/>
          <w:iCs/>
          <w:sz w:val="20"/>
          <w:szCs w:val="20"/>
          <w:lang w:val="en-US" w:eastAsia="zh-CN" w:bidi="ar-SA"/>
        </w:rPr>
        <w:t xml:space="preserve">s look at the inter-band UL CA. Although it said </w:t>
      </w:r>
      <w:r>
        <w:rPr>
          <w:rFonts w:hint="default" w:cs="Times New Roman"/>
          <w:bCs/>
          <w:i w:val="0"/>
          <w:iCs/>
          <w:sz w:val="20"/>
          <w:szCs w:val="20"/>
          <w:lang w:val="en-US" w:eastAsia="zh-CN" w:bidi="ar-SA"/>
        </w:rPr>
        <w:t>‘</w:t>
      </w:r>
      <w:r>
        <w:rPr>
          <w:rFonts w:hint="eastAsia" w:cs="Times New Roman"/>
          <w:bCs/>
          <w:i w:val="0"/>
          <w:iCs/>
          <w:sz w:val="20"/>
          <w:szCs w:val="20"/>
          <w:lang w:val="en-US" w:eastAsia="zh-CN" w:bidi="ar-SA"/>
        </w:rPr>
        <w:t>reference sensitivity exceptions</w:t>
      </w:r>
      <w:r>
        <w:rPr>
          <w:rFonts w:hint="default" w:cs="Times New Roman"/>
          <w:bCs/>
          <w:i w:val="0"/>
          <w:iCs/>
          <w:sz w:val="20"/>
          <w:szCs w:val="20"/>
          <w:lang w:val="en-US" w:eastAsia="zh-CN" w:bidi="ar-SA"/>
        </w:rPr>
        <w:t>’</w:t>
      </w:r>
      <w:r>
        <w:rPr>
          <w:rFonts w:hint="eastAsia" w:cs="Times New Roman"/>
          <w:bCs/>
          <w:i w:val="0"/>
          <w:iCs/>
          <w:sz w:val="20"/>
          <w:szCs w:val="20"/>
          <w:lang w:val="en-US" w:eastAsia="zh-CN" w:bidi="ar-SA"/>
        </w:rPr>
        <w:t xml:space="preserve"> which is the same LTE, unlike LTE inter-band UL CA, MSD requirements were defined and there were some types of the MSD. To make contribution simple and short, we only take the MSD for someinter-band NR CA band combination for examples. </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 w:val="0"/>
          <w:bCs/>
          <w:i w:val="0"/>
          <w:iCs/>
          <w:sz w:val="20"/>
          <w:szCs w:val="20"/>
          <w:u w:val="single"/>
          <w:lang w:val="en-US" w:eastAsia="zh-CN" w:bidi="ar-SA"/>
        </w:rPr>
      </w:pPr>
      <w:bookmarkStart w:id="19" w:name="OLE_LINK21"/>
      <w:r>
        <w:rPr>
          <w:rFonts w:hint="eastAsia" w:cs="Times New Roman"/>
          <w:b w:val="0"/>
          <w:bCs/>
          <w:i w:val="0"/>
          <w:iCs/>
          <w:sz w:val="20"/>
          <w:szCs w:val="20"/>
          <w:u w:val="single"/>
          <w:lang w:val="en-US" w:eastAsia="zh-CN" w:bidi="ar-SA"/>
        </w:rPr>
        <w:t>IMD MSD for inter-band NR CA:</w:t>
      </w:r>
    </w:p>
    <w:bookmarkEnd w:id="19"/>
    <w:p>
      <w:pPr>
        <w:keepNext w:val="0"/>
        <w:keepLines w:val="0"/>
        <w:pageBreakBefore w:val="0"/>
        <w:widowControl w:val="0"/>
        <w:kinsoku/>
        <w:wordWrap/>
        <w:topLinePunct w:val="0"/>
        <w:bidi w:val="0"/>
        <w:snapToGrid/>
        <w:spacing w:beforeLines="-2147483648" w:after="180" w:afterLines="-2147483648" w:line="240" w:lineRule="auto"/>
        <w:jc w:val="left"/>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Let</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take the following combination as examples.</w:t>
      </w:r>
    </w:p>
    <w:p>
      <w:pPr>
        <w:keepNext w:val="0"/>
        <w:keepLines w:val="0"/>
        <w:pageBreakBefore w:val="0"/>
        <w:widowControl w:val="0"/>
        <w:kinsoku/>
        <w:wordWrap/>
        <w:topLinePunct w:val="0"/>
        <w:bidi w:val="0"/>
        <w:snapToGrid/>
        <w:spacing w:beforeLines="-2147483648" w:after="180" w:afterLines="-2147483648" w:line="240" w:lineRule="auto"/>
        <w:jc w:val="left"/>
        <w:rPr>
          <w:rFonts w:hint="default" w:ascii="Times New Roman" w:hAnsi="Times New Roman" w:cs="Times New Roman"/>
          <w:kern w:val="0"/>
          <w:sz w:val="20"/>
          <w:szCs w:val="20"/>
          <w:lang w:val="en-US" w:eastAsia="zh-TW"/>
        </w:rPr>
      </w:pPr>
      <w:bookmarkStart w:id="20" w:name="OLE_LINK8"/>
      <w:r>
        <w:rPr>
          <w:rFonts w:hint="eastAsia" w:cs="Times New Roman"/>
          <w:kern w:val="0"/>
          <w:sz w:val="20"/>
          <w:szCs w:val="20"/>
          <w:lang w:val="en-US" w:eastAsia="zh-CN"/>
        </w:rPr>
        <w:t>For PC3 2UL/2DL inter-band NR CA:</w:t>
      </w:r>
    </w:p>
    <w:bookmarkEnd w:id="20"/>
    <w:tbl>
      <w:tblPr>
        <w:tblStyle w:val="2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US" w:eastAsia="en-US" w:bidi="ar-SA"/>
              </w:rPr>
            </w:pPr>
            <w:r>
              <w:rPr>
                <w:rFonts w:ascii="Arial" w:hAnsi="Arial" w:eastAsia="MS Mincho" w:cs="Times New Roman"/>
                <w:b/>
                <w:sz w:val="18"/>
                <w:lang w:val="en-GB" w:eastAsia="en-US" w:bidi="ar-SA"/>
              </w:rPr>
              <w:t>Band / Channel bandwidth / N</w:t>
            </w:r>
            <w:r>
              <w:rPr>
                <w:rFonts w:ascii="Arial" w:hAnsi="Arial" w:eastAsia="MS Mincho" w:cs="Times New Roman"/>
                <w:b/>
                <w:sz w:val="18"/>
                <w:vertAlign w:val="subscript"/>
                <w:lang w:val="en-GB" w:eastAsia="en-US" w:bidi="ar-SA"/>
              </w:rPr>
              <w:t>RB</w:t>
            </w:r>
            <w:r>
              <w:rPr>
                <w:rFonts w:ascii="Arial" w:hAnsi="Arial" w:eastAsia="MS Mincho" w:cs="Times New Roman"/>
                <w:b/>
                <w:sz w:val="18"/>
                <w:lang w:val="en-GB" w:eastAsia="en-US" w:bidi="ar-S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ja-JP" w:bidi="ar-SA"/>
              </w:rPr>
              <w:t>NR</w:t>
            </w:r>
            <w:r>
              <w:rPr>
                <w:rFonts w:ascii="Arial" w:hAnsi="Arial" w:eastAsia="MS Mincho" w:cs="Times New Roman"/>
                <w:b/>
                <w:sz w:val="18"/>
                <w:lang w:val="en-GB" w:eastAsia="en-US" w:bidi="ar-SA"/>
              </w:rPr>
              <w:t xml:space="preserve"> </w:t>
            </w:r>
            <w:r>
              <w:rPr>
                <w:rFonts w:ascii="Arial" w:hAnsi="Arial" w:eastAsia="MS Mincho" w:cs="Times New Roman"/>
                <w:b/>
                <w:sz w:val="18"/>
                <w:lang w:val="en-US" w:eastAsia="zh-CN" w:bidi="ar-SA"/>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ja-JP" w:bidi="ar-SA"/>
              </w:rPr>
              <w:t>NR</w:t>
            </w:r>
            <w:r>
              <w:rPr>
                <w:rFonts w:ascii="Arial" w:hAnsi="Arial" w:eastAsia="MS Mincho" w:cs="Times New Roman"/>
                <w:b/>
                <w:sz w:val="18"/>
                <w:lang w:val="en-GB" w:eastAsia="en-US" w:bidi="ar-SA"/>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UL F</w:t>
            </w:r>
            <w:r>
              <w:rPr>
                <w:rFonts w:ascii="Arial" w:hAnsi="Arial" w:eastAsia="MS Mincho" w:cs="Times New Roman"/>
                <w:b/>
                <w:sz w:val="18"/>
                <w:vertAlign w:val="subscript"/>
                <w:lang w:val="en-GB" w:eastAsia="en-US" w:bidi="ar-SA"/>
              </w:rPr>
              <w:t>c</w:t>
            </w:r>
            <w:r>
              <w:rPr>
                <w:rFonts w:ascii="Arial" w:hAnsi="Arial" w:eastAsia="MS Mincho" w:cs="Times New Roman"/>
                <w:b/>
                <w:sz w:val="18"/>
                <w:lang w:val="en-GB" w:eastAsia="en-US" w:bidi="ar-SA"/>
              </w:rPr>
              <w:t xml:space="preserve"> </w:t>
            </w:r>
            <w:r>
              <w:rPr>
                <w:rFonts w:ascii="Arial" w:hAnsi="Arial" w:eastAsia="MS Mincho" w:cs="Times New Roman"/>
                <w:b/>
                <w:sz w:val="18"/>
                <w:lang w:val="en-GB" w:eastAsia="en-US" w:bidi="ar-SA"/>
              </w:rPr>
              <w:br w:type="textWrapping"/>
            </w:r>
            <w:r>
              <w:rPr>
                <w:rFonts w:ascii="Arial" w:hAnsi="Arial" w:eastAsia="MS Mincho" w:cs="Times New Roman"/>
                <w:b/>
                <w:sz w:val="18"/>
                <w:lang w:val="en-GB" w:eastAsia="en-US" w:bidi="ar-SA"/>
              </w:rPr>
              <w:t>(MHz)</w:t>
            </w:r>
          </w:p>
        </w:tc>
        <w:tc>
          <w:tcPr>
            <w:tcW w:w="96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 xml:space="preserve">UL/DL BW </w:t>
            </w:r>
            <w:r>
              <w:rPr>
                <w:rFonts w:ascii="Arial" w:hAnsi="Arial" w:eastAsia="MS Mincho" w:cs="Times New Roman"/>
                <w:b/>
                <w:sz w:val="18"/>
                <w:lang w:val="en-GB" w:eastAsia="en-US" w:bidi="ar-SA"/>
              </w:rPr>
              <w:br w:type="textWrapping"/>
            </w:r>
            <w:r>
              <w:rPr>
                <w:rFonts w:ascii="Arial" w:hAnsi="Arial" w:eastAsia="MS Mincho" w:cs="Times New Roman"/>
                <w:b/>
                <w:sz w:val="18"/>
                <w:lang w:val="en-GB" w:eastAsia="en-US" w:bidi="ar-SA"/>
              </w:rPr>
              <w:t>(MHz)</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 xml:space="preserve">UL </w:t>
            </w:r>
            <w:r>
              <w:rPr>
                <w:rFonts w:ascii="Arial" w:hAnsi="Arial" w:eastAsia="MS Mincho" w:cs="Times New Roman"/>
                <w:b/>
                <w:sz w:val="18"/>
                <w:lang w:val="en-GB" w:eastAsia="en-US" w:bidi="ar-SA"/>
              </w:rPr>
              <w:br w:type="textWrapping"/>
            </w:r>
            <w:r>
              <w:rPr>
                <w:rFonts w:ascii="Arial" w:hAnsi="Arial" w:eastAsia="MS Mincho" w:cs="Times New Roman"/>
                <w:b/>
                <w:sz w:val="18"/>
                <w:lang w:val="en-GB" w:eastAsia="en-US" w:bidi="ar-SA"/>
              </w:rPr>
              <w:t>C</w:t>
            </w:r>
            <w:r>
              <w:rPr>
                <w:rFonts w:ascii="Arial" w:hAnsi="Arial" w:eastAsia="MS Mincho" w:cs="Times New Roman"/>
                <w:b/>
                <w:sz w:val="18"/>
                <w:vertAlign w:val="subscript"/>
                <w:lang w:val="en-GB" w:eastAsia="en-US" w:bidi="ar-SA"/>
              </w:rPr>
              <w:t>LRB</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DL F</w:t>
            </w:r>
            <w:r>
              <w:rPr>
                <w:rFonts w:ascii="Arial" w:hAnsi="Arial" w:eastAsia="MS Mincho" w:cs="Times New Roman"/>
                <w:b/>
                <w:sz w:val="18"/>
                <w:vertAlign w:val="subscript"/>
                <w:lang w:val="en-GB" w:eastAsia="en-US" w:bidi="ar-SA"/>
              </w:rPr>
              <w:t>c</w:t>
            </w:r>
            <w:r>
              <w:rPr>
                <w:rFonts w:ascii="Arial" w:hAnsi="Arial" w:eastAsia="MS Mincho" w:cs="Times New Roman"/>
                <w:b/>
                <w:sz w:val="18"/>
                <w:lang w:val="en-GB" w:eastAsia="en-US" w:bidi="ar-SA"/>
              </w:rPr>
              <w:t xml:space="preserve"> (MHz)</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 xml:space="preserve">MSD </w:t>
            </w:r>
            <w:r>
              <w:rPr>
                <w:rFonts w:ascii="Arial" w:hAnsi="Arial" w:eastAsia="MS Mincho" w:cs="Times New Roman"/>
                <w:b/>
                <w:sz w:val="18"/>
                <w:lang w:val="en-GB" w:eastAsia="en-US" w:bidi="ar-SA"/>
              </w:rPr>
              <w:br w:type="textWrapping"/>
            </w:r>
            <w:r>
              <w:rPr>
                <w:rFonts w:ascii="Arial" w:hAnsi="Arial" w:eastAsia="MS Mincho" w:cs="Times New Roman"/>
                <w:b/>
                <w:sz w:val="18"/>
                <w:lang w:val="en-GB" w:eastAsia="en-US" w:bidi="ar-SA"/>
              </w:rPr>
              <w:t>(dB)</w:t>
            </w:r>
          </w:p>
        </w:tc>
        <w:tc>
          <w:tcPr>
            <w:tcW w:w="82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bookmarkStart w:id="21" w:name="OLE_LINK12"/>
            <w:r>
              <w:rPr>
                <w:rFonts w:hint="eastAsia" w:ascii="Arial" w:hAnsi="Arial" w:eastAsia="MS Mincho" w:cs="Times New Roman"/>
                <w:sz w:val="18"/>
                <w:lang w:val="en-US" w:eastAsia="zh-CN" w:bidi="ar-SA"/>
              </w:rPr>
              <w:t>CA_n</w:t>
            </w:r>
            <w:r>
              <w:rPr>
                <w:rFonts w:ascii="Arial" w:hAnsi="Arial" w:eastAsia="MS Mincho" w:cs="Times New Roman"/>
                <w:sz w:val="18"/>
                <w:lang w:val="en-US" w:eastAsia="zh-CN" w:bidi="ar-SA"/>
              </w:rPr>
              <w:t>1</w:t>
            </w:r>
            <w:r>
              <w:rPr>
                <w:rFonts w:hint="eastAsia" w:ascii="Arial" w:hAnsi="Arial" w:eastAsia="MS Mincho" w:cs="Times New Roman"/>
                <w:sz w:val="18"/>
                <w:lang w:val="en-US" w:eastAsia="zh-CN" w:bidi="ar-SA"/>
              </w:rPr>
              <w:t>-n</w:t>
            </w:r>
            <w:r>
              <w:rPr>
                <w:rFonts w:ascii="Arial" w:hAnsi="Arial" w:eastAsia="MS Mincho" w:cs="Times New Roman"/>
                <w:sz w:val="18"/>
                <w:lang w:val="en-US" w:eastAsia="zh-CN" w:bidi="ar-SA"/>
              </w:rPr>
              <w:t>3</w:t>
            </w:r>
            <w:bookmarkEnd w:id="21"/>
          </w:p>
        </w:tc>
        <w:tc>
          <w:tcPr>
            <w:tcW w:w="1146"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n1</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1950</w:t>
            </w:r>
          </w:p>
        </w:tc>
        <w:tc>
          <w:tcPr>
            <w:tcW w:w="964"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5</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25</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2140</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23</w:t>
            </w:r>
          </w:p>
        </w:tc>
        <w:tc>
          <w:tcPr>
            <w:tcW w:w="828"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FDD</w:t>
            </w:r>
          </w:p>
        </w:tc>
        <w:tc>
          <w:tcPr>
            <w:tcW w:w="1057"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zh-CN" w:bidi="ar-S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p>
        </w:tc>
        <w:tc>
          <w:tcPr>
            <w:tcW w:w="1146"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n</w:t>
            </w:r>
            <w:r>
              <w:rPr>
                <w:rFonts w:ascii="Arial" w:hAnsi="Arial" w:eastAsia="MS Mincho" w:cs="Times New Roman"/>
                <w:sz w:val="18"/>
                <w:lang w:val="en-US" w:eastAsia="zh-CN" w:bidi="ar-SA"/>
              </w:rPr>
              <w:t>3</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1760</w:t>
            </w:r>
          </w:p>
        </w:tc>
        <w:tc>
          <w:tcPr>
            <w:tcW w:w="964"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5</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25</w:t>
            </w:r>
          </w:p>
        </w:tc>
        <w:tc>
          <w:tcPr>
            <w:tcW w:w="960"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US" w:eastAsia="zh-CN" w:bidi="ar-SA"/>
              </w:rPr>
              <w:t>1855</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ascii="Arial" w:hAnsi="Arial" w:eastAsia="MS Mincho" w:cs="Times New Roman"/>
                <w:sz w:val="18"/>
                <w:lang w:val="en-GB" w:eastAsia="ja-JP" w:bidi="ar-SA"/>
              </w:rPr>
              <w:t>N/A</w:t>
            </w:r>
          </w:p>
        </w:tc>
        <w:tc>
          <w:tcPr>
            <w:tcW w:w="828"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TDD</w:t>
            </w:r>
          </w:p>
        </w:tc>
        <w:tc>
          <w:tcPr>
            <w:tcW w:w="1057" w:type="dxa"/>
            <w:tcBorders>
              <w:top w:val="single" w:color="auto" w:sz="4" w:space="0"/>
              <w:left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ja-JP"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CA_n1-n78</w:t>
            </w:r>
          </w:p>
        </w:tc>
        <w:tc>
          <w:tcPr>
            <w:tcW w:w="1146"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n1</w:t>
            </w:r>
          </w:p>
        </w:tc>
        <w:tc>
          <w:tcPr>
            <w:tcW w:w="960"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1950</w:t>
            </w:r>
          </w:p>
        </w:tc>
        <w:tc>
          <w:tcPr>
            <w:tcW w:w="964"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5</w:t>
            </w:r>
          </w:p>
        </w:tc>
        <w:tc>
          <w:tcPr>
            <w:tcW w:w="960"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25</w:t>
            </w:r>
          </w:p>
        </w:tc>
        <w:tc>
          <w:tcPr>
            <w:tcW w:w="960"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2140</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8.0</w:t>
            </w:r>
          </w:p>
        </w:tc>
        <w:tc>
          <w:tcPr>
            <w:tcW w:w="828"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hint="eastAsia" w:ascii="Arial" w:hAnsi="Arial" w:eastAsia="MS Mincho" w:cs="Times New Roman"/>
                <w:sz w:val="18"/>
                <w:lang w:val="en-US" w:eastAsia="zh-CN" w:bidi="ar-SA"/>
              </w:rPr>
              <w:t>FDD</w:t>
            </w:r>
          </w:p>
        </w:tc>
        <w:tc>
          <w:tcPr>
            <w:tcW w:w="1057"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p>
        </w:tc>
        <w:tc>
          <w:tcPr>
            <w:tcW w:w="1146"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960"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964"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960"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960"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highlight w:val="yellow"/>
                <w:lang w:val="en-GB" w:eastAsia="ja-JP" w:bidi="ar-SA"/>
              </w:rPr>
              <w:t>10.7</w:t>
            </w:r>
            <w:r>
              <w:rPr>
                <w:rFonts w:ascii="Arial" w:hAnsi="Arial" w:eastAsia="MS Mincho" w:cs="Times New Roman"/>
                <w:sz w:val="18"/>
                <w:highlight w:val="yellow"/>
                <w:vertAlign w:val="superscript"/>
                <w:lang w:val="en-GB" w:eastAsia="en-US" w:bidi="ar-SA"/>
              </w:rPr>
              <w:t>5</w:t>
            </w:r>
          </w:p>
        </w:tc>
        <w:tc>
          <w:tcPr>
            <w:tcW w:w="828"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1057"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p>
        </w:tc>
        <w:tc>
          <w:tcPr>
            <w:tcW w:w="11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US" w:eastAsia="zh-CN" w:bidi="ar-SA"/>
              </w:rPr>
            </w:pPr>
            <w:r>
              <w:rPr>
                <w:rFonts w:hint="eastAsia" w:ascii="Arial" w:hAnsi="Arial" w:eastAsia="MS Mincho" w:cs="Times New Roman"/>
                <w:sz w:val="18"/>
                <w:lang w:val="en-US" w:eastAsia="zh-CN" w:bidi="ar-SA"/>
              </w:rPr>
              <w:t>n78</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ja-JP" w:bidi="ar-SA"/>
              </w:rPr>
            </w:pPr>
            <w:r>
              <w:rPr>
                <w:rFonts w:hint="eastAsia" w:ascii="Arial" w:hAnsi="Arial" w:eastAsia="MS Mincho" w:cs="Times New Roman"/>
                <w:sz w:val="18"/>
                <w:lang w:val="en-US" w:eastAsia="zh-CN" w:bidi="ar-SA"/>
              </w:rPr>
              <w:t>3710</w:t>
            </w:r>
          </w:p>
        </w:tc>
        <w:tc>
          <w:tcPr>
            <w:tcW w:w="96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10</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ascii="Arial" w:hAnsi="Arial" w:eastAsia="MS Mincho" w:cs="Times New Roman"/>
                <w:sz w:val="18"/>
                <w:lang w:val="en-US" w:eastAsia="zh-CN" w:bidi="ar-SA"/>
              </w:rPr>
              <w:t>50</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ja-JP" w:bidi="ar-SA"/>
              </w:rPr>
            </w:pPr>
            <w:r>
              <w:rPr>
                <w:rFonts w:hint="eastAsia" w:ascii="Arial" w:hAnsi="Arial" w:eastAsia="MS Mincho" w:cs="Times New Roman"/>
                <w:sz w:val="18"/>
                <w:lang w:val="en-US" w:eastAsia="zh-CN" w:bidi="ar-SA"/>
              </w:rPr>
              <w:t>3710</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ja-JP" w:bidi="ar-SA"/>
              </w:rPr>
            </w:pPr>
            <w:r>
              <w:rPr>
                <w:rFonts w:ascii="Arial" w:hAnsi="Arial" w:eastAsia="MS Mincho" w:cs="Times New Roman"/>
                <w:sz w:val="18"/>
                <w:lang w:val="en-GB" w:eastAsia="ja-JP" w:bidi="ar-SA"/>
              </w:rPr>
              <w:t>N/A</w:t>
            </w:r>
          </w:p>
        </w:tc>
        <w:tc>
          <w:tcPr>
            <w:tcW w:w="82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TDD</w:t>
            </w:r>
          </w:p>
        </w:tc>
        <w:tc>
          <w:tcPr>
            <w:tcW w:w="10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CA_n8-n78</w:t>
            </w:r>
          </w:p>
        </w:tc>
        <w:tc>
          <w:tcPr>
            <w:tcW w:w="11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n8</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897.5</w:t>
            </w:r>
          </w:p>
        </w:tc>
        <w:tc>
          <w:tcPr>
            <w:tcW w:w="96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5</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25</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942.5</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8.3</w:t>
            </w:r>
          </w:p>
        </w:tc>
        <w:tc>
          <w:tcPr>
            <w:tcW w:w="82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FDD</w:t>
            </w:r>
          </w:p>
        </w:tc>
        <w:tc>
          <w:tcPr>
            <w:tcW w:w="10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p>
        </w:tc>
        <w:tc>
          <w:tcPr>
            <w:tcW w:w="114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n78</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3635</w:t>
            </w:r>
          </w:p>
        </w:tc>
        <w:tc>
          <w:tcPr>
            <w:tcW w:w="96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10</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50</w:t>
            </w:r>
          </w:p>
        </w:tc>
        <w:tc>
          <w:tcPr>
            <w:tcW w:w="96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3635</w:t>
            </w:r>
          </w:p>
        </w:tc>
        <w:tc>
          <w:tcPr>
            <w:tcW w:w="9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N/A</w:t>
            </w:r>
          </w:p>
        </w:tc>
        <w:tc>
          <w:tcPr>
            <w:tcW w:w="82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TDD</w:t>
            </w:r>
          </w:p>
        </w:tc>
        <w:tc>
          <w:tcPr>
            <w:tcW w:w="105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eastAsia="MS Mincho" w:cs="Times New Roman"/>
                <w:sz w:val="18"/>
                <w:lang w:val="en-GB" w:eastAsia="zh-CN" w:bidi="ar-SA"/>
              </w:rPr>
            </w:pPr>
            <w:r>
              <w:rPr>
                <w:rFonts w:ascii="Arial" w:hAnsi="Arial" w:eastAsia="MS Mincho"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zh-CN" w:bidi="ar-SA"/>
              </w:rPr>
            </w:pPr>
            <w:r>
              <w:rPr>
                <w:rFonts w:ascii="Arial" w:hAnsi="Arial" w:eastAsia="MS Mincho" w:cs="Times New Roman"/>
                <w:sz w:val="18"/>
                <w:lang w:val="en-GB" w:eastAsia="en-US" w:bidi="ar-SA"/>
              </w:rPr>
              <w:t>NOTE 1:</w:t>
            </w:r>
            <w:r>
              <w:rPr>
                <w:rFonts w:ascii="Arial" w:hAnsi="Arial" w:eastAsia="MS Mincho" w:cs="Times New Roman"/>
                <w:sz w:val="18"/>
                <w:lang w:val="en-GB" w:eastAsia="en-US" w:bidi="ar-SA"/>
              </w:rPr>
              <w:tab/>
            </w:r>
            <w:r>
              <w:rPr>
                <w:rFonts w:ascii="Arial" w:hAnsi="Arial" w:eastAsia="MS Mincho" w:cs="Times New Roman"/>
                <w:sz w:val="18"/>
                <w:lang w:val="en-GB" w:eastAsia="en-US" w:bidi="ar-SA"/>
              </w:rPr>
              <w:t xml:space="preserve">Both of the transmitters shall be set min(+20 dBm, </w:t>
            </w:r>
            <w:r>
              <w:rPr>
                <w:rFonts w:ascii="Arial" w:hAnsi="Arial" w:eastAsia="MS Mincho" w:cs="Times New Roman"/>
                <w:sz w:val="18"/>
                <w:lang w:val="en-US" w:eastAsia="zh-CN" w:bidi="ar-SA"/>
              </w:rPr>
              <w:t>P</w:t>
            </w:r>
            <w:r>
              <w:rPr>
                <w:rFonts w:ascii="Arial" w:hAnsi="Arial" w:eastAsia="MS Mincho" w:cs="Times New Roman"/>
                <w:sz w:val="18"/>
                <w:vertAlign w:val="subscript"/>
                <w:lang w:val="en-US" w:eastAsia="zh-CN" w:bidi="ar-SA"/>
              </w:rPr>
              <w:t>CMAX_L,f,c</w:t>
            </w:r>
            <w:r>
              <w:rPr>
                <w:rFonts w:ascii="Arial" w:hAnsi="Arial" w:eastAsia="MS Mincho" w:cs="Times New Roman"/>
                <w:sz w:val="18"/>
                <w:lang w:val="en-GB" w:eastAsia="en-US" w:bidi="ar-SA"/>
              </w:rPr>
              <w:t>) as defined in clause 6.2</w:t>
            </w:r>
            <w:r>
              <w:rPr>
                <w:rFonts w:ascii="Arial" w:hAnsi="Arial" w:eastAsia="MS Mincho" w:cs="Times New Roman"/>
                <w:sz w:val="18"/>
                <w:lang w:val="en-GB" w:eastAsia="zh-CN" w:bidi="ar-SA"/>
              </w:rPr>
              <w:t>A</w:t>
            </w:r>
            <w:r>
              <w:rPr>
                <w:rFonts w:ascii="Arial" w:hAnsi="Arial" w:eastAsia="MS Mincho" w:cs="Times New Roman"/>
                <w:sz w:val="18"/>
                <w:lang w:val="en-GB" w:eastAsia="en-US" w:bidi="ar-SA"/>
              </w:rPr>
              <w:t>.</w:t>
            </w:r>
            <w:r>
              <w:rPr>
                <w:rFonts w:ascii="Arial" w:hAnsi="Arial" w:eastAsia="MS Mincho" w:cs="Times New Roman"/>
                <w:sz w:val="18"/>
                <w:lang w:val="en-GB" w:eastAsia="zh-CN" w:bidi="ar-SA"/>
              </w:rPr>
              <w:t>4</w:t>
            </w:r>
          </w:p>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zh-CN" w:bidi="ar-SA"/>
              </w:rPr>
            </w:pPr>
            <w:r>
              <w:rPr>
                <w:rFonts w:ascii="Arial" w:hAnsi="Arial" w:eastAsia="MS Mincho" w:cs="Times New Roman"/>
                <w:sz w:val="18"/>
                <w:lang w:val="en-GB" w:eastAsia="en-US" w:bidi="ar-SA"/>
              </w:rPr>
              <w:t>NOTE 2:</w:t>
            </w:r>
            <w:r>
              <w:rPr>
                <w:rFonts w:ascii="Arial" w:hAnsi="Arial" w:eastAsia="MS Mincho" w:cs="Times New Roman"/>
                <w:sz w:val="18"/>
                <w:lang w:val="en-GB" w:eastAsia="en-US" w:bidi="ar-SA"/>
              </w:rPr>
              <w:tab/>
            </w:r>
            <w:r>
              <w:rPr>
                <w:rFonts w:ascii="Arial" w:hAnsi="Arial" w:eastAsia="MS Mincho" w:cs="Times New Roman"/>
                <w:sz w:val="18"/>
                <w:lang w:val="en-GB" w:eastAsia="en-US" w:bidi="ar-SA"/>
              </w:rPr>
              <w:t>RB</w:t>
            </w:r>
            <w:r>
              <w:rPr>
                <w:rFonts w:ascii="Arial" w:hAnsi="Arial" w:eastAsia="MS Mincho" w:cs="Times New Roman"/>
                <w:sz w:val="18"/>
                <w:vertAlign w:val="subscript"/>
                <w:lang w:val="en-GB" w:eastAsia="en-US" w:bidi="ar-SA"/>
              </w:rPr>
              <w:t>START</w:t>
            </w:r>
            <w:r>
              <w:rPr>
                <w:rFonts w:ascii="Arial" w:hAnsi="Arial" w:eastAsia="MS Mincho" w:cs="Times New Roman"/>
                <w:sz w:val="18"/>
                <w:lang w:val="en-GB" w:eastAsia="en-US" w:bidi="ar-SA"/>
              </w:rPr>
              <w:t xml:space="preserve"> = 0</w:t>
            </w:r>
            <w:r>
              <w:rPr>
                <w:rFonts w:ascii="Arial" w:hAnsi="Arial" w:eastAsia="MS Mincho" w:cs="Times New Roman"/>
                <w:sz w:val="18"/>
                <w:lang w:val="en-GB" w:eastAsia="zh-CN" w:bidi="ar-SA"/>
              </w:rPr>
              <w:t>,</w:t>
            </w:r>
            <w:r>
              <w:rPr>
                <w:rFonts w:ascii="Arial" w:hAnsi="Arial" w:eastAsia="MS Mincho" w:cs="Times New Roman"/>
                <w:sz w:val="18"/>
                <w:lang w:val="en-US" w:eastAsia="zh-CN" w:bidi="ar-SA"/>
              </w:rPr>
              <w:t xml:space="preserve"> 15 kHz SCS is assumed.</w:t>
            </w:r>
          </w:p>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en-US" w:bidi="ar-SA"/>
              </w:rPr>
            </w:pPr>
            <w:r>
              <w:rPr>
                <w:rFonts w:ascii="Arial" w:hAnsi="Arial" w:eastAsia="MS Mincho" w:cs="Times New Roman"/>
                <w:sz w:val="18"/>
                <w:lang w:val="en-GB" w:eastAsia="en-US" w:bidi="ar-SA"/>
              </w:rPr>
              <w:t>NOTE 3:</w:t>
            </w:r>
            <w:r>
              <w:rPr>
                <w:rFonts w:ascii="Arial" w:hAnsi="Arial" w:eastAsia="MS Mincho" w:cs="Times New Roman"/>
                <w:sz w:val="18"/>
                <w:lang w:val="en-GB" w:eastAsia="en-US" w:bidi="ar-SA"/>
              </w:rPr>
              <w:tab/>
            </w:r>
            <w:r>
              <w:rPr>
                <w:rFonts w:ascii="Arial" w:hAnsi="Arial" w:eastAsia="MS Mincho" w:cs="Times New Roman"/>
                <w:sz w:val="18"/>
                <w:lang w:val="en-GB" w:eastAsia="ja-JP" w:bidi="ar-SA"/>
              </w:rPr>
              <w:t>N</w:t>
            </w:r>
            <w:r>
              <w:rPr>
                <w:rFonts w:ascii="Arial" w:hAnsi="Arial" w:eastAsia="MS Mincho" w:cs="Times New Roman"/>
                <w:sz w:val="18"/>
                <w:lang w:val="en-GB" w:eastAsia="en-US" w:bidi="ar-SA"/>
              </w:rPr>
              <w:t xml:space="preserve">o requirements apply when there is at least one individual RE within the </w:t>
            </w:r>
            <w:r>
              <w:rPr>
                <w:rFonts w:ascii="Arial" w:hAnsi="Arial" w:eastAsia="MS Mincho" w:cs="Times New Roman"/>
                <w:sz w:val="18"/>
                <w:lang w:val="en-GB" w:eastAsia="ja-JP" w:bidi="ar-SA"/>
              </w:rPr>
              <w:t>intermodulation generated by the dual uplink</w:t>
            </w:r>
            <w:r>
              <w:rPr>
                <w:rFonts w:ascii="Arial" w:hAnsi="Arial" w:eastAsia="MS Mincho" w:cs="Times New Roman"/>
                <w:sz w:val="18"/>
                <w:lang w:val="en-GB" w:eastAsia="en-US" w:bidi="ar-SA"/>
              </w:rPr>
              <w:t xml:space="preserve"> is within the </w:t>
            </w:r>
            <w:r>
              <w:rPr>
                <w:rFonts w:ascii="Arial" w:hAnsi="Arial" w:eastAsia="MS Mincho" w:cs="Times New Roman"/>
                <w:sz w:val="18"/>
                <w:lang w:val="en-GB" w:eastAsia="ja-JP" w:bidi="ar-SA"/>
              </w:rPr>
              <w:t xml:space="preserve">downlink </w:t>
            </w:r>
            <w:r>
              <w:rPr>
                <w:rFonts w:ascii="Arial" w:hAnsi="Arial" w:eastAsia="MS Mincho" w:cs="Times New Roman"/>
                <w:sz w:val="18"/>
                <w:lang w:val="en-GB" w:eastAsia="en-US" w:bidi="ar-SA"/>
              </w:rPr>
              <w:t xml:space="preserve">transmission bandwidth of the </w:t>
            </w:r>
            <w:r>
              <w:rPr>
                <w:rFonts w:ascii="Arial" w:hAnsi="Arial" w:eastAsia="MS Mincho" w:cs="Times New Roman"/>
                <w:sz w:val="18"/>
                <w:lang w:val="en-GB" w:eastAsia="ja-JP" w:bidi="ar-SA"/>
              </w:rPr>
              <w:t>FDD</w:t>
            </w:r>
            <w:r>
              <w:rPr>
                <w:rFonts w:ascii="Arial" w:hAnsi="Arial" w:eastAsia="MS Mincho" w:cs="Times New Roman"/>
                <w:sz w:val="18"/>
                <w:lang w:val="en-GB" w:eastAsia="en-US" w:bidi="ar-SA"/>
              </w:rPr>
              <w:t xml:space="preserve"> band. The reference sensitivity </w:t>
            </w:r>
            <w:r>
              <w:rPr>
                <w:rFonts w:ascii="Arial" w:hAnsi="Arial" w:eastAsia="MS Mincho" w:cs="Times New Roman"/>
                <w:sz w:val="18"/>
                <w:lang w:val="en-GB" w:eastAsia="ja-JP" w:bidi="ar-SA"/>
              </w:rPr>
              <w:t xml:space="preserve">should </w:t>
            </w:r>
            <w:r>
              <w:rPr>
                <w:rFonts w:ascii="Arial" w:hAnsi="Arial" w:eastAsia="MS Mincho" w:cs="Times New Roman"/>
                <w:sz w:val="18"/>
                <w:lang w:val="en-GB" w:eastAsia="en-US" w:bidi="ar-SA"/>
              </w:rPr>
              <w:t xml:space="preserve">only </w:t>
            </w:r>
            <w:r>
              <w:rPr>
                <w:rFonts w:ascii="Arial" w:hAnsi="Arial" w:eastAsia="MS Mincho" w:cs="Times New Roman"/>
                <w:sz w:val="18"/>
                <w:lang w:val="en-GB" w:eastAsia="ja-JP" w:bidi="ar-SA"/>
              </w:rPr>
              <w:t xml:space="preserve">be </w:t>
            </w:r>
            <w:r>
              <w:rPr>
                <w:rFonts w:ascii="Arial" w:hAnsi="Arial" w:eastAsia="MS Mincho" w:cs="Times New Roman"/>
                <w:sz w:val="18"/>
                <w:lang w:val="en-GB" w:eastAsia="en-US" w:bidi="ar-SA"/>
              </w:rPr>
              <w:t>verified when this is not the case (the requirements specified in clause 7.3</w:t>
            </w:r>
            <w:r>
              <w:rPr>
                <w:rFonts w:ascii="Arial" w:hAnsi="Arial" w:eastAsia="MS Mincho" w:cs="Times New Roman"/>
                <w:sz w:val="18"/>
                <w:lang w:val="en-GB" w:eastAsia="zh-CN" w:bidi="ar-SA"/>
              </w:rPr>
              <w:t xml:space="preserve"> </w:t>
            </w:r>
            <w:r>
              <w:rPr>
                <w:rFonts w:ascii="Arial" w:hAnsi="Arial" w:eastAsia="MS Mincho" w:cs="Times New Roman"/>
                <w:sz w:val="18"/>
                <w:lang w:val="en-GB" w:eastAsia="en-US" w:bidi="ar-SA"/>
              </w:rPr>
              <w:t>apply).</w:t>
            </w:r>
          </w:p>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en-US" w:bidi="ar-SA"/>
              </w:rPr>
            </w:pPr>
            <w:r>
              <w:rPr>
                <w:rFonts w:ascii="Arial" w:hAnsi="Arial" w:eastAsia="MS Mincho" w:cs="Times New Roman"/>
                <w:sz w:val="18"/>
                <w:lang w:val="en-GB" w:eastAsia="en-US" w:bidi="ar-SA"/>
              </w:rPr>
              <w:t>NOTE 4:</w:t>
            </w:r>
            <w:r>
              <w:rPr>
                <w:rFonts w:ascii="Arial" w:hAnsi="Arial" w:eastAsia="MS Mincho" w:cs="Times New Roman"/>
                <w:sz w:val="18"/>
                <w:lang w:val="en-GB" w:eastAsia="en-US" w:bidi="ar-SA"/>
              </w:rPr>
              <w:tab/>
            </w:r>
            <w:r>
              <w:rPr>
                <w:rFonts w:ascii="Arial" w:hAnsi="Arial" w:eastAsia="MS Mincho" w:cs="Times New Roman"/>
                <w:sz w:val="18"/>
                <w:lang w:val="en-GB" w:eastAsia="en-US" w:bidi="ar-SA"/>
              </w:rPr>
              <w:t>This band is subject to IMD5 also which MSD is not specified</w:t>
            </w:r>
            <w:r>
              <w:rPr>
                <w:rFonts w:ascii="Arial" w:hAnsi="Arial" w:eastAsia="MS Mincho" w:cs="Times New Roman"/>
                <w:sz w:val="18"/>
                <w:lang w:val="en-GB" w:eastAsia="ja-JP" w:bidi="ar-SA"/>
              </w:rPr>
              <w:t>.</w:t>
            </w:r>
          </w:p>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en-US" w:bidi="ar-SA"/>
              </w:rPr>
            </w:pPr>
            <w:r>
              <w:rPr>
                <w:rFonts w:ascii="Arial" w:hAnsi="Arial" w:eastAsia="MS Mincho" w:cs="Times New Roman"/>
                <w:sz w:val="18"/>
                <w:lang w:val="en-GB" w:eastAsia="en-US" w:bidi="ar-SA"/>
              </w:rPr>
              <w:t>NOTE 5:</w:t>
            </w:r>
            <w:r>
              <w:rPr>
                <w:rFonts w:ascii="Arial" w:hAnsi="Arial" w:eastAsia="MS Mincho" w:cs="Times New Roman"/>
                <w:sz w:val="18"/>
                <w:lang w:val="en-GB" w:eastAsia="en-US" w:bidi="ar-SA"/>
              </w:rPr>
              <w:tab/>
            </w:r>
            <w:r>
              <w:rPr>
                <w:rFonts w:ascii="Arial" w:hAnsi="Arial" w:eastAsia="MS Mincho" w:cs="Times New Roman"/>
                <w:sz w:val="18"/>
                <w:lang w:val="en-GB" w:eastAsia="en-US" w:bidi="ar-SA"/>
              </w:rPr>
              <w:t>Applicable only if operation with 4 antenna ports is supported in the band with carrier aggregation configured.</w:t>
            </w:r>
          </w:p>
          <w:p>
            <w:pPr>
              <w:keepNext w:val="0"/>
              <w:keepLines w:val="0"/>
              <w:pageBreakBefore w:val="0"/>
              <w:widowControl w:val="0"/>
              <w:kinsoku/>
              <w:wordWrap/>
              <w:topLinePunct w:val="0"/>
              <w:bidi w:val="0"/>
              <w:snapToGrid/>
              <w:spacing w:after="0"/>
              <w:ind w:left="851" w:hanging="851"/>
              <w:rPr>
                <w:rFonts w:ascii="Arial" w:hAnsi="Arial" w:eastAsia="MS Mincho" w:cs="Times New Roman"/>
                <w:sz w:val="18"/>
                <w:lang w:val="en-GB" w:eastAsia="zh-CN" w:bidi="ar-SA"/>
              </w:rPr>
            </w:pPr>
            <w:r>
              <w:rPr>
                <w:rFonts w:ascii="Arial" w:hAnsi="Arial" w:eastAsia="MS Mincho" w:cs="Times New Roman"/>
                <w:sz w:val="18"/>
                <w:lang w:val="en-GB" w:eastAsia="en-US" w:bidi="ar-SA"/>
              </w:rPr>
              <w:t xml:space="preserve">NOTE </w:t>
            </w:r>
            <w:r>
              <w:rPr>
                <w:rFonts w:ascii="Arial" w:hAnsi="Arial" w:eastAsia="MS Mincho" w:cs="Times New Roman"/>
                <w:sz w:val="18"/>
                <w:lang w:val="en-US" w:eastAsia="zh-CN" w:bidi="ar-SA"/>
              </w:rPr>
              <w:t>6</w:t>
            </w:r>
            <w:r>
              <w:rPr>
                <w:rFonts w:ascii="Arial" w:hAnsi="Arial" w:eastAsia="MS Mincho" w:cs="Times New Roman"/>
                <w:sz w:val="18"/>
                <w:lang w:val="en-GB" w:eastAsia="en-US" w:bidi="ar-SA"/>
              </w:rPr>
              <w:t>:</w:t>
            </w:r>
            <w:r>
              <w:rPr>
                <w:rFonts w:ascii="Arial" w:hAnsi="Arial" w:eastAsia="MS Mincho" w:cs="Times New Roman"/>
                <w:sz w:val="18"/>
                <w:lang w:val="en-GB" w:eastAsia="en-US" w:bidi="ar-SA"/>
              </w:rPr>
              <w:tab/>
            </w:r>
            <w:r>
              <w:rPr>
                <w:rFonts w:ascii="Arial" w:hAnsi="Arial" w:eastAsia="MS Mincho" w:cs="Times New Roman"/>
                <w:sz w:val="18"/>
                <w:lang w:val="en-GB" w:eastAsia="en-US" w:bidi="ar-SA"/>
              </w:rPr>
              <w:t>For a UE which supports this band combination only when the Band n77 frequency range restriction defined in NOTE 12 of Table 5.2-1 applies, the MSD test point(s) cannot be verified for the band combination and the test point(s) can be skipped.</w:t>
            </w:r>
          </w:p>
        </w:tc>
      </w:tr>
    </w:tbl>
    <w:p>
      <w:pPr>
        <w:keepNext w:val="0"/>
        <w:keepLines w:val="0"/>
        <w:pageBreakBefore w:val="0"/>
        <w:widowControl w:val="0"/>
        <w:kinsoku/>
        <w:wordWrap/>
        <w:topLinePunct w:val="0"/>
        <w:bidi w:val="0"/>
        <w:snapToGrid/>
        <w:spacing w:beforeLines="-2147483648" w:after="180" w:afterLines="-2147483648" w:line="240" w:lineRule="auto"/>
        <w:jc w:val="left"/>
        <w:rPr>
          <w:rFonts w:hint="eastAsia" w:cs="Times New Roman"/>
          <w:kern w:val="0"/>
          <w:sz w:val="20"/>
          <w:szCs w:val="20"/>
          <w:lang w:val="en-US" w:eastAsia="zh-CN"/>
        </w:rPr>
      </w:pPr>
    </w:p>
    <w:p>
      <w:pPr>
        <w:keepNext w:val="0"/>
        <w:keepLines w:val="0"/>
        <w:pageBreakBefore w:val="0"/>
        <w:widowControl w:val="0"/>
        <w:kinsoku/>
        <w:wordWrap/>
        <w:topLinePunct w:val="0"/>
        <w:bidi w:val="0"/>
        <w:snapToGrid/>
        <w:spacing w:beforeLines="-2147483648" w:after="180" w:afterLines="-2147483648" w:line="240" w:lineRule="auto"/>
        <w:jc w:val="left"/>
        <w:rPr>
          <w:rFonts w:hint="eastAsia" w:cs="Times New Roman"/>
          <w:b w:val="0"/>
          <w:bCs w:val="0"/>
          <w:kern w:val="0"/>
          <w:sz w:val="20"/>
          <w:szCs w:val="20"/>
          <w:highlight w:val="none"/>
          <w:lang w:val="en-US" w:eastAsia="zh-CN"/>
        </w:rPr>
      </w:pPr>
      <w:r>
        <w:rPr>
          <w:rFonts w:hint="eastAsia" w:cs="Times New Roman"/>
          <w:kern w:val="0"/>
          <w:sz w:val="20"/>
          <w:szCs w:val="20"/>
          <w:lang w:val="en-US" w:eastAsia="zh-CN"/>
        </w:rPr>
        <w:t>For PC2 2UL/2DL inter-band NR CA:</w:t>
      </w:r>
    </w:p>
    <w:tbl>
      <w:tblPr>
        <w:tblStyle w:val="2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64"/>
              <w:rPr>
                <w:lang w:val="en-US"/>
              </w:rPr>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6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64"/>
            </w:pPr>
            <w:r>
              <w:rPr>
                <w:lang w:eastAsia="ja-JP"/>
              </w:rPr>
              <w:t>NR</w:t>
            </w:r>
            <w:r>
              <w:t xml:space="preserve"> </w:t>
            </w:r>
            <w:r>
              <w:rPr>
                <w:lang w:val="en-US" w:eastAsia="zh-CN"/>
              </w:rPr>
              <w:t>CA</w:t>
            </w:r>
          </w:p>
          <w:p>
            <w:pPr>
              <w:pStyle w:val="64"/>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64"/>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6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6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6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6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6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64"/>
            </w:pPr>
            <w:r>
              <w:t>Duplex mode</w:t>
            </w:r>
          </w:p>
        </w:tc>
        <w:tc>
          <w:tcPr>
            <w:tcW w:w="1056" w:type="dxa"/>
            <w:tcBorders>
              <w:top w:val="nil"/>
              <w:left w:val="single" w:color="auto" w:sz="4" w:space="0"/>
              <w:bottom w:val="single" w:color="auto" w:sz="4" w:space="0"/>
              <w:right w:val="single" w:color="auto" w:sz="4" w:space="0"/>
            </w:tcBorders>
          </w:tcPr>
          <w:p>
            <w:pPr>
              <w:pStyle w:val="6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6"/>
              <w:rPr>
                <w:lang w:val="en-US" w:eastAsia="zh-CN"/>
              </w:rPr>
            </w:pPr>
            <w:r>
              <w:rPr>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6"/>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6"/>
              <w:rPr>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6"/>
              <w:rPr>
                <w:lang w:val="en-US"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6"/>
            </w:pPr>
            <w:r>
              <w:rPr>
                <w:lang w:eastAsia="ja-JP"/>
              </w:rPr>
              <w:t>N/A</w:t>
            </w:r>
          </w:p>
        </w:tc>
      </w:tr>
    </w:tbl>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p>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We can see from the table:</w:t>
      </w:r>
    </w:p>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1. For PC3, there are two MSD values corresponding to2Rx and 4Rx are defined for CA_n1-n78 since band n78 supports 4Rx, while for the same PC2 band combination, only</w:t>
      </w:r>
      <w:bookmarkStart w:id="22" w:name="OLE_LINK17"/>
      <w:r>
        <w:rPr>
          <w:rFonts w:hint="eastAsia" w:cs="Times New Roman"/>
          <w:b w:val="0"/>
          <w:bCs w:val="0"/>
          <w:kern w:val="0"/>
          <w:sz w:val="20"/>
          <w:szCs w:val="20"/>
          <w:highlight w:val="none"/>
          <w:lang w:val="en-US" w:eastAsia="zh-CN"/>
        </w:rPr>
        <w:t xml:space="preserve"> one MSD value was defined</w:t>
      </w:r>
      <w:bookmarkEnd w:id="22"/>
      <w:r>
        <w:rPr>
          <w:rFonts w:hint="eastAsia" w:cs="Times New Roman"/>
          <w:b w:val="0"/>
          <w:bCs w:val="0"/>
          <w:kern w:val="0"/>
          <w:sz w:val="20"/>
          <w:szCs w:val="20"/>
          <w:highlight w:val="none"/>
          <w:lang w:val="en-US" w:eastAsia="zh-CN"/>
        </w:rPr>
        <w:t>.</w:t>
      </w:r>
    </w:p>
    <w:p>
      <w:pPr>
        <w:keepNext w:val="0"/>
        <w:keepLines w:val="0"/>
        <w:pageBreakBefore w:val="0"/>
        <w:widowControl w:val="0"/>
        <w:kinsoku/>
        <w:wordWrap/>
        <w:topLinePunct w:val="0"/>
        <w:bidi w:val="0"/>
        <w:snapToGrid/>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2. For PC3, only one MSD value was defined for the other band combination, such as</w:t>
      </w:r>
      <w:bookmarkStart w:id="23" w:name="OLE_LINK11"/>
      <w:r>
        <w:rPr>
          <w:rFonts w:hint="eastAsia" w:cs="Times New Roman"/>
          <w:b w:val="0"/>
          <w:bCs w:val="0"/>
          <w:kern w:val="0"/>
          <w:sz w:val="20"/>
          <w:szCs w:val="20"/>
          <w:highlight w:val="none"/>
          <w:lang w:val="en-US" w:eastAsia="zh-CN"/>
        </w:rPr>
        <w:t xml:space="preserve"> CA_n8-n78</w:t>
      </w:r>
      <w:bookmarkEnd w:id="23"/>
      <w:r>
        <w:rPr>
          <w:rFonts w:hint="eastAsia" w:cs="Times New Roman"/>
          <w:b w:val="0"/>
          <w:bCs w:val="0"/>
          <w:kern w:val="0"/>
          <w:sz w:val="20"/>
          <w:szCs w:val="20"/>
          <w:highlight w:val="none"/>
          <w:lang w:val="en-US" w:eastAsia="zh-CN"/>
        </w:rPr>
        <w:t>.</w:t>
      </w:r>
    </w:p>
    <w:p>
      <w:pPr>
        <w:keepNext w:val="0"/>
        <w:keepLines w:val="0"/>
        <w:pageBreakBefore w:val="0"/>
        <w:widowControl w:val="0"/>
        <w:kinsoku/>
        <w:wordWrap/>
        <w:topLinePunct w:val="0"/>
        <w:bidi w:val="0"/>
        <w:snapToGrid/>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3. For PC3, for the same band for example band n1 in different band combinations of CA_n1-n78 and CA_n1-n3, due to n1 optional supports 4Rx, if n1 in CA_n1-n3 also supports 4Rx, then the MSD related to 4Rx should be defined.</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band n8, 4Rx is also optional supported in Rel-17 but release independent from Rel-15 in term of the WID [4], however when band n8 support 4Rx was introduced in Rel-17 TS38.101-1, only single band requirements, i.e. </w:t>
      </w:r>
      <w:r>
        <w:rPr>
          <w:b w:val="0"/>
          <w:bCs w:val="0"/>
          <w:i w:val="0"/>
          <w:iCs w:val="0"/>
          <w:color w:val="000000" w:themeColor="text1"/>
          <w:sz w:val="20"/>
          <w:szCs w:val="20"/>
          <w:u w:val="none"/>
          <w14:textFill>
            <w14:solidFill>
              <w14:schemeClr w14:val="tx1"/>
            </w14:solidFill>
          </w14:textFill>
        </w:rPr>
        <w:t>ΔR</w:t>
      </w:r>
      <w:r>
        <w:rPr>
          <w:b w:val="0"/>
          <w:bCs w:val="0"/>
          <w:i w:val="0"/>
          <w:iCs w:val="0"/>
          <w:color w:val="000000" w:themeColor="text1"/>
          <w:sz w:val="20"/>
          <w:szCs w:val="20"/>
          <w:u w:val="none"/>
          <w:vertAlign w:val="subscript"/>
          <w14:textFill>
            <w14:solidFill>
              <w14:schemeClr w14:val="tx1"/>
            </w14:solidFill>
          </w14:textFill>
        </w:rPr>
        <w:t>IB,4R</w:t>
      </w:r>
      <w:r>
        <w:rPr>
          <w:rFonts w:hint="eastAsia"/>
          <w:b w:val="0"/>
          <w:bCs w:val="0"/>
          <w:i w:val="0"/>
          <w:iCs w:val="0"/>
          <w:color w:val="000000" w:themeColor="text1"/>
          <w:sz w:val="20"/>
          <w:szCs w:val="20"/>
          <w:u w:val="none"/>
          <w:vertAlign w:val="baseline"/>
          <w:lang w:val="en-US" w:eastAsia="zh-CN"/>
          <w14:textFill>
            <w14:solidFill>
              <w14:schemeClr w14:val="tx1"/>
            </w14:solidFill>
          </w14:textFill>
        </w:rPr>
        <w:t xml:space="preserve"> are discussed, no CA related work for the band combination incorporated. Therefore i</w:t>
      </w:r>
      <w:r>
        <w:rPr>
          <w:rFonts w:hint="eastAsia" w:cs="Times New Roman"/>
          <w:b w:val="0"/>
          <w:bCs w:val="0"/>
          <w:kern w:val="0"/>
          <w:sz w:val="20"/>
          <w:szCs w:val="20"/>
          <w:highlight w:val="none"/>
          <w:lang w:val="en-US" w:eastAsia="zh-CN"/>
        </w:rPr>
        <w:t>n our understanding, it is similar situation for both CA_n1-n78 and CA_n8-n78, which means 4Rx MSD should also be defined for CA_n8-n78.</w:t>
      </w:r>
    </w:p>
    <w:p>
      <w:pPr>
        <w:keepNext w:val="0"/>
        <w:keepLines w:val="0"/>
        <w:pageBreakBefore w:val="0"/>
        <w:widowControl w:val="0"/>
        <w:kinsoku/>
        <w:wordWrap/>
        <w:overflowPunct/>
        <w:topLinePunct w:val="0"/>
        <w:autoSpaceDE/>
        <w:autoSpaceDN/>
        <w:bidi w:val="0"/>
        <w:adjustRightInd/>
        <w:snapToGrid/>
        <w:spacing w:beforeLines="-2147483648" w:after="180" w:afterLines="-2147483648" w:line="240" w:lineRule="auto"/>
        <w:jc w:val="left"/>
        <w:textAlignment w:val="auto"/>
        <w:rPr>
          <w:rFonts w:hint="eastAsia" w:cs="Times New Roman"/>
          <w:b w:val="0"/>
          <w:bCs w:val="0"/>
          <w:kern w:val="0"/>
          <w:sz w:val="20"/>
          <w:szCs w:val="20"/>
          <w:highlight w:val="none"/>
          <w:lang w:val="en-US" w:eastAsia="zh-CN"/>
        </w:rPr>
      </w:pPr>
      <w:r>
        <w:rPr>
          <w:rFonts w:hint="eastAsia" w:cs="Times New Roman"/>
          <w:kern w:val="0"/>
          <w:sz w:val="20"/>
          <w:szCs w:val="20"/>
          <w:lang w:val="en-US" w:eastAsia="zh-CN"/>
        </w:rPr>
        <w:t>Similar situation as 2UL/2DL in 2UL/3DL IMD MSD table.</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b/>
          <w:bCs w:val="0"/>
          <w:i/>
          <w:iCs w:val="0"/>
          <w:sz w:val="20"/>
          <w:szCs w:val="20"/>
          <w:lang w:val="en-US" w:eastAsia="zh-CN"/>
        </w:rPr>
      </w:pPr>
      <w:bookmarkStart w:id="24" w:name="OLE_LINK24"/>
      <w:r>
        <w:rPr>
          <w:rFonts w:hint="eastAsia"/>
          <w:b/>
          <w:bCs w:val="0"/>
          <w:i/>
          <w:iCs w:val="0"/>
          <w:sz w:val="20"/>
          <w:szCs w:val="20"/>
          <w:lang w:val="en-US" w:eastAsia="zh-CN"/>
        </w:rPr>
        <w:t xml:space="preserve">Observation 3: For the </w:t>
      </w:r>
      <w:bookmarkStart w:id="25" w:name="OLE_LINK28"/>
      <w:r>
        <w:rPr>
          <w:rFonts w:hint="eastAsia"/>
          <w:b/>
          <w:bCs w:val="0"/>
          <w:i/>
          <w:iCs w:val="0"/>
          <w:sz w:val="20"/>
          <w:szCs w:val="20"/>
          <w:lang w:val="en-US" w:eastAsia="zh-CN"/>
        </w:rPr>
        <w:t xml:space="preserve">constitute </w:t>
      </w:r>
      <w:bookmarkEnd w:id="25"/>
      <w:r>
        <w:rPr>
          <w:rFonts w:hint="eastAsia"/>
          <w:b/>
          <w:bCs w:val="0"/>
          <w:i/>
          <w:iCs w:val="0"/>
          <w:sz w:val="20"/>
          <w:szCs w:val="20"/>
          <w:lang w:val="en-US" w:eastAsia="zh-CN"/>
        </w:rPr>
        <w:t>band support 4Rx as optional, the IMD MSD for this constitute band to support 4Rx operation should be defined.</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b/>
          <w:bCs w:val="0"/>
          <w:i/>
          <w:iCs w:val="0"/>
          <w:sz w:val="20"/>
          <w:szCs w:val="20"/>
          <w:lang w:val="en-US" w:eastAsia="zh-CN"/>
        </w:rPr>
      </w:pPr>
      <w:r>
        <w:rPr>
          <w:rFonts w:hint="eastAsia"/>
          <w:b/>
          <w:bCs w:val="0"/>
          <w:i/>
          <w:iCs w:val="0"/>
          <w:sz w:val="20"/>
          <w:szCs w:val="20"/>
          <w:lang w:val="en-US" w:eastAsia="zh-CN"/>
        </w:rPr>
        <w:t xml:space="preserve">Observation 4: </w:t>
      </w:r>
      <w:bookmarkEnd w:id="24"/>
      <w:r>
        <w:rPr>
          <w:rFonts w:hint="eastAsia"/>
          <w:b/>
          <w:bCs w:val="0"/>
          <w:i/>
          <w:iCs w:val="0"/>
          <w:sz w:val="20"/>
          <w:szCs w:val="20"/>
          <w:lang w:val="en-US" w:eastAsia="zh-CN"/>
        </w:rPr>
        <w:t xml:space="preserve">For IMD issue, in-consistency 4Rx requirements for the MSD requirement for some band combination in 2UL/2DL and 2UL/3DL IMD MSD tables. </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Moreover, when a WID of band n8 to support 4Rx were approved in </w:t>
      </w:r>
      <w:bookmarkStart w:id="26" w:name="OLE_LINK35"/>
      <w:r>
        <w:rPr>
          <w:rFonts w:hint="eastAsia" w:cs="Times New Roman"/>
          <w:b w:val="0"/>
          <w:bCs w:val="0"/>
          <w:kern w:val="0"/>
          <w:sz w:val="20"/>
          <w:szCs w:val="20"/>
          <w:highlight w:val="none"/>
          <w:lang w:val="en-US" w:eastAsia="zh-CN"/>
        </w:rPr>
        <w:t>[5][6]</w:t>
      </w:r>
      <w:bookmarkEnd w:id="26"/>
      <w:r>
        <w:rPr>
          <w:rFonts w:hint="eastAsia" w:cs="Times New Roman"/>
          <w:b w:val="0"/>
          <w:bCs w:val="0"/>
          <w:kern w:val="0"/>
          <w:sz w:val="20"/>
          <w:szCs w:val="20"/>
          <w:highlight w:val="none"/>
          <w:lang w:val="en-US" w:eastAsia="zh-CN"/>
        </w:rPr>
        <w:t>, there are no discussion on how to introduce 4Rx requirements for NR CA. When proponents introduced their own band combinations, some of them defined MSD related to both 2Rx and 4Rx, but some of them only defined 2Rx MSD as discussed above.</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our understanding, the LTE CA approaches in TS36.101 can be reused for NR CA, which is there is no need to list all of the impacted band combination, instead </w:t>
      </w:r>
      <w:bookmarkStart w:id="27" w:name="OLE_LINK16"/>
      <w:r>
        <w:rPr>
          <w:rFonts w:hint="eastAsia" w:cs="Times New Roman"/>
          <w:b w:val="0"/>
          <w:bCs w:val="0"/>
          <w:kern w:val="0"/>
          <w:sz w:val="20"/>
          <w:szCs w:val="20"/>
          <w:highlight w:val="none"/>
          <w:lang w:val="en-US" w:eastAsia="zh-CN"/>
        </w:rPr>
        <w:t xml:space="preserve">a new NOTE is added in addition to a </w:t>
      </w:r>
      <w:bookmarkStart w:id="28" w:name="OLE_LINK22"/>
      <w:r>
        <w:rPr>
          <w:rFonts w:hint="eastAsia" w:cs="Times New Roman"/>
          <w:b w:val="0"/>
          <w:bCs w:val="0"/>
          <w:kern w:val="0"/>
          <w:sz w:val="20"/>
          <w:szCs w:val="20"/>
          <w:highlight w:val="none"/>
          <w:lang w:val="en-US" w:eastAsia="zh-CN"/>
        </w:rPr>
        <w:t>general clarification texts</w:t>
      </w:r>
      <w:bookmarkEnd w:id="28"/>
      <w:r>
        <w:rPr>
          <w:rFonts w:hint="eastAsia" w:cs="Times New Roman"/>
          <w:b w:val="0"/>
          <w:bCs w:val="0"/>
          <w:kern w:val="0"/>
          <w:sz w:val="20"/>
          <w:szCs w:val="20"/>
          <w:highlight w:val="none"/>
          <w:lang w:val="en-US" w:eastAsia="zh-CN"/>
        </w:rPr>
        <w:t xml:space="preserve">. The 4Rx sensitivity table have already been incorporated in the general clarification texts, to the only left is the new NOTE.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Therefore, it is proposed to add a new NOTE</w:t>
      </w:r>
      <w:bookmarkStart w:id="29" w:name="OLE_LINK40"/>
      <w:r>
        <w:rPr>
          <w:rFonts w:hint="eastAsia" w:cs="Times New Roman"/>
          <w:b w:val="0"/>
          <w:bCs w:val="0"/>
          <w:kern w:val="0"/>
          <w:sz w:val="20"/>
          <w:szCs w:val="20"/>
          <w:highlight w:val="none"/>
          <w:lang w:val="en-US" w:eastAsia="zh-CN"/>
        </w:rPr>
        <w:t xml:space="preserve"> in inter-band CA IMD MSD tables</w:t>
      </w:r>
      <w:bookmarkEnd w:id="29"/>
      <w:bookmarkStart w:id="30" w:name="OLE_LINK29"/>
      <w:r>
        <w:rPr>
          <w:rFonts w:hint="eastAsia" w:cs="Times New Roman"/>
          <w:b w:val="0"/>
          <w:bCs w:val="0"/>
          <w:kern w:val="0"/>
          <w:sz w:val="20"/>
          <w:szCs w:val="20"/>
          <w:highlight w:val="none"/>
          <w:lang w:val="en-US" w:eastAsia="zh-CN"/>
        </w:rPr>
        <w:t xml:space="preserve"> in Rel-15/16/17 TS38.101-1 specs</w:t>
      </w:r>
      <w:bookmarkEnd w:id="30"/>
      <w:r>
        <w:rPr>
          <w:rFonts w:hint="eastAsia" w:cs="Times New Roman"/>
          <w:b w:val="0"/>
          <w:bCs w:val="0"/>
          <w:kern w:val="0"/>
          <w:sz w:val="20"/>
          <w:szCs w:val="20"/>
          <w:highlight w:val="none"/>
          <w:lang w:val="en-US" w:eastAsia="zh-CN"/>
        </w:rPr>
        <w:t>.</w:t>
      </w:r>
    </w:p>
    <w:bookmarkEnd w:id="27"/>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bCs w:val="0"/>
          <w:i/>
          <w:iCs w:val="0"/>
          <w:kern w:val="2"/>
          <w:sz w:val="20"/>
          <w:szCs w:val="20"/>
          <w:highlight w:val="none"/>
          <w:lang w:val="en-US" w:eastAsia="zh-CN"/>
        </w:rPr>
      </w:pPr>
      <w:bookmarkStart w:id="31" w:name="OLE_LINK19"/>
      <w:r>
        <w:rPr>
          <w:rFonts w:hint="eastAsia"/>
          <w:b/>
          <w:bCs w:val="0"/>
          <w:i/>
          <w:iCs w:val="0"/>
          <w:sz w:val="20"/>
          <w:szCs w:val="20"/>
          <w:lang w:val="en-US" w:eastAsia="zh-CN"/>
        </w:rPr>
        <w:t xml:space="preserve">Proposal 1: </w:t>
      </w:r>
      <w:bookmarkStart w:id="32" w:name="OLE_LINK25"/>
      <w:r>
        <w:rPr>
          <w:rFonts w:hint="eastAsia"/>
          <w:b/>
          <w:bCs w:val="0"/>
          <w:i/>
          <w:iCs w:val="0"/>
          <w:sz w:val="20"/>
          <w:szCs w:val="20"/>
          <w:lang w:val="en-US" w:eastAsia="zh-CN"/>
        </w:rPr>
        <w:t>T</w:t>
      </w:r>
      <w:bookmarkEnd w:id="32"/>
      <w:r>
        <w:rPr>
          <w:rFonts w:hint="eastAsia"/>
          <w:b/>
          <w:bCs w:val="0"/>
          <w:i/>
          <w:iCs w:val="0"/>
          <w:sz w:val="20"/>
          <w:szCs w:val="20"/>
          <w:lang w:val="en-US" w:eastAsia="zh-CN"/>
        </w:rPr>
        <w:t xml:space="preserve">o add a new NOTE </w:t>
      </w:r>
      <w:r>
        <w:rPr>
          <w:rFonts w:hint="eastAsia" w:cs="Times New Roman"/>
          <w:b/>
          <w:bCs w:val="0"/>
          <w:i/>
          <w:kern w:val="2"/>
          <w:sz w:val="20"/>
          <w:szCs w:val="20"/>
          <w:highlight w:val="none"/>
          <w:lang w:val="en-US" w:eastAsia="zh-CN"/>
        </w:rPr>
        <w:t>in inter-band CA IMD MSD tables in Rel-15/16/17 TS38.101-1 specs: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1424" w:leftChars="200" w:hanging="1004" w:hangingChars="500"/>
        <w:textAlignment w:val="auto"/>
        <w:rPr>
          <w:rFonts w:hint="eastAsia"/>
          <w:b/>
          <w:i/>
          <w:iCs w:val="0"/>
          <w:sz w:val="20"/>
          <w:highlight w:val="none"/>
          <w:lang w:val="en-US" w:eastAsia="zh-CN"/>
        </w:rPr>
      </w:pPr>
      <w:bookmarkStart w:id="33" w:name="OLE_LINK14"/>
      <w:r>
        <w:rPr>
          <w:rFonts w:hint="eastAsia" w:eastAsia="宋体"/>
          <w:b/>
          <w:i/>
          <w:sz w:val="20"/>
          <w:highlight w:val="none"/>
          <w:lang w:val="en-US" w:eastAsia="zh-CN"/>
        </w:rPr>
        <w:t xml:space="preserve">NOTE </w:t>
      </w:r>
      <w:r>
        <w:rPr>
          <w:rFonts w:hint="eastAsia"/>
          <w:b/>
          <w:i/>
          <w:sz w:val="20"/>
          <w:highlight w:val="none"/>
          <w:lang w:val="en-US" w:eastAsia="zh-CN"/>
        </w:rPr>
        <w:t>x</w:t>
      </w:r>
      <w:r>
        <w:rPr>
          <w:rFonts w:hint="eastAsia" w:eastAsia="宋体"/>
          <w:b/>
          <w:i/>
          <w:sz w:val="20"/>
          <w:highlight w:val="none"/>
          <w:lang w:val="en-US" w:eastAsia="zh-CN"/>
        </w:rPr>
        <w:t xml:space="preserve">: </w:t>
      </w:r>
      <w:r>
        <w:rPr>
          <w:rFonts w:hint="eastAsia" w:eastAsia="宋体"/>
          <w:b/>
          <w:i/>
          <w:iCs w:val="0"/>
          <w:sz w:val="20"/>
          <w:highlight w:val="none"/>
          <w:lang w:val="en-US" w:eastAsia="zh-CN"/>
        </w:rPr>
        <w:t xml:space="preserve"> </w:t>
      </w:r>
      <w:r>
        <w:rPr>
          <w:rFonts w:hint="eastAsia"/>
          <w:b/>
          <w:i/>
          <w:iCs w:val="0"/>
          <w:sz w:val="20"/>
          <w:highlight w:val="none"/>
        </w:rPr>
        <w:t xml:space="preserve">For operations with 4 </w:t>
      </w:r>
      <w:r>
        <w:rPr>
          <w:rFonts w:hint="eastAsia"/>
          <w:b/>
          <w:i/>
          <w:iCs w:val="0"/>
          <w:sz w:val="20"/>
          <w:highlight w:val="none"/>
          <w:lang w:val="en-US" w:eastAsia="zh-CN"/>
        </w:rPr>
        <w:t xml:space="preserve">Rx </w:t>
      </w:r>
      <w:r>
        <w:rPr>
          <w:rFonts w:hint="eastAsia"/>
          <w:b/>
          <w:i/>
          <w:iCs w:val="0"/>
          <w:sz w:val="20"/>
          <w:highlight w:val="none"/>
        </w:rPr>
        <w:t xml:space="preserve">antenna ports, the MSD in the applicable bands shall be </w:t>
      </w:r>
      <w:r>
        <w:rPr>
          <w:rFonts w:hint="eastAsia" w:eastAsia="宋体"/>
          <w:b/>
          <w:i/>
          <w:iCs w:val="0"/>
          <w:sz w:val="20"/>
          <w:highlight w:val="none"/>
          <w:lang w:eastAsia="zh-CN"/>
        </w:rPr>
        <w:t>modified</w:t>
      </w:r>
      <w:r>
        <w:rPr>
          <w:rFonts w:hint="eastAsia"/>
          <w:b/>
          <w:i/>
          <w:iCs w:val="0"/>
          <w:sz w:val="20"/>
          <w:highlight w:val="none"/>
        </w:rPr>
        <w:t xml:space="preserve"> by the absolute value of ΔR</w:t>
      </w:r>
      <w:r>
        <w:rPr>
          <w:rFonts w:hint="eastAsia"/>
          <w:b/>
          <w:i/>
          <w:iCs w:val="0"/>
          <w:sz w:val="20"/>
          <w:highlight w:val="none"/>
          <w:vertAlign w:val="subscript"/>
        </w:rPr>
        <w:t>IB,4R</w:t>
      </w:r>
      <w:r>
        <w:rPr>
          <w:rFonts w:hint="eastAsia"/>
          <w:b/>
          <w:i/>
          <w:iCs w:val="0"/>
          <w:sz w:val="20"/>
          <w:highlight w:val="none"/>
        </w:rPr>
        <w:t xml:space="preserve"> in Table </w:t>
      </w:r>
      <w:r>
        <w:rPr>
          <w:rFonts w:hint="eastAsia"/>
          <w:b/>
          <w:i/>
          <w:sz w:val="20"/>
          <w:highlight w:val="none"/>
        </w:rPr>
        <w:t>7.3.2-2</w:t>
      </w:r>
      <w:r>
        <w:rPr>
          <w:rFonts w:hint="eastAsia"/>
          <w:b/>
          <w:i/>
          <w:iCs w:val="0"/>
          <w:sz w:val="20"/>
          <w:highlight w:val="none"/>
        </w:rPr>
        <w:t xml:space="preserve"> when MSD &gt; 0</w:t>
      </w:r>
      <w:r>
        <w:rPr>
          <w:rFonts w:hint="eastAsia"/>
          <w:b/>
          <w:i/>
          <w:iCs w:val="0"/>
          <w:sz w:val="20"/>
          <w:highlight w:val="none"/>
          <w:lang w:val="en-US" w:eastAsia="zh-CN"/>
        </w:rPr>
        <w:t>, except the band that 4 Rx antenna ports support is set as the baseline in section 7.3.2.</w:t>
      </w:r>
    </w:p>
    <w:bookmarkEnd w:id="31"/>
    <w:bookmarkEnd w:id="33"/>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kern w:val="0"/>
          <w:sz w:val="20"/>
          <w:szCs w:val="20"/>
          <w:highlight w:val="none"/>
          <w:lang w:val="en-US" w:eastAsia="zh-CN"/>
        </w:rPr>
      </w:pPr>
      <w:bookmarkStart w:id="34" w:name="OLE_LINK20"/>
      <w:r>
        <w:rPr>
          <w:rFonts w:hint="eastAsia" w:cs="Times New Roman"/>
          <w:b w:val="0"/>
          <w:bCs w:val="0"/>
          <w:kern w:val="0"/>
          <w:sz w:val="20"/>
          <w:szCs w:val="20"/>
          <w:highlight w:val="none"/>
          <w:lang w:val="en-US" w:eastAsia="zh-CN"/>
        </w:rPr>
        <w:t xml:space="preserve">Based on the above proposal, the companion CRs can be found in </w:t>
      </w:r>
      <w:bookmarkStart w:id="35" w:name="OLE_LINK5"/>
      <w:r>
        <w:rPr>
          <w:rFonts w:hint="eastAsia" w:cs="Times New Roman"/>
          <w:b w:val="0"/>
          <w:bCs w:val="0"/>
          <w:kern w:val="0"/>
          <w:sz w:val="20"/>
          <w:szCs w:val="20"/>
          <w:highlight w:val="none"/>
          <w:lang w:val="en-US" w:eastAsia="zh-CN"/>
        </w:rPr>
        <w:t xml:space="preserve">[6~8] </w:t>
      </w:r>
      <w:bookmarkStart w:id="36" w:name="OLE_LINK26"/>
      <w:r>
        <w:rPr>
          <w:rFonts w:hint="eastAsia" w:cs="Times New Roman"/>
          <w:b w:val="0"/>
          <w:bCs w:val="0"/>
          <w:kern w:val="0"/>
          <w:sz w:val="20"/>
          <w:szCs w:val="20"/>
          <w:highlight w:val="none"/>
          <w:lang w:val="en-US" w:eastAsia="zh-CN"/>
        </w:rPr>
        <w:t>for TS38.101-1.</w:t>
      </w:r>
      <w:bookmarkEnd w:id="6"/>
      <w:bookmarkEnd w:id="34"/>
      <w:bookmarkEnd w:id="36"/>
    </w:p>
    <w:bookmarkEnd w:id="7"/>
    <w:bookmarkEnd w:id="35"/>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0"/>
          <w:numId w:val="0"/>
        </w:numPr>
        <w:shd w:val="clear" w:color="auto" w:fill="FFFFFF"/>
        <w:kinsoku/>
        <w:wordWrap/>
        <w:overflowPunct w:val="0"/>
        <w:topLinePunct w:val="0"/>
        <w:autoSpaceDE w:val="0"/>
        <w:autoSpaceDN w:val="0"/>
        <w:bidi w:val="0"/>
        <w:adjustRightInd w:val="0"/>
        <w:snapToGrid/>
        <w:spacing w:beforeLines="0" w:afterLines="0" w:line="240" w:lineRule="auto"/>
        <w:jc w:val="left"/>
        <w:textAlignment w:val="baseline"/>
        <w:rPr>
          <w:rFonts w:hint="eastAsia"/>
          <w:kern w:val="0"/>
          <w:sz w:val="20"/>
          <w:highlight w:val="none"/>
          <w:lang w:val="en-US" w:eastAsia="zh-CN"/>
        </w:rPr>
      </w:pPr>
      <w:r>
        <w:rPr>
          <w:kern w:val="0"/>
          <w:sz w:val="20"/>
          <w:highlight w:val="none"/>
        </w:rPr>
        <w:t xml:space="preserve">In this contribution, </w:t>
      </w:r>
      <w:r>
        <w:rPr>
          <w:rFonts w:hint="eastAsia"/>
          <w:kern w:val="0"/>
          <w:sz w:val="20"/>
          <w:highlight w:val="none"/>
          <w:lang w:val="en-US" w:eastAsia="zh-CN"/>
        </w:rPr>
        <w:t>we discuss the issues related to 4Rx requirement for NR CA. The conclusion are:</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b/>
          <w:bCs w:val="0"/>
          <w:i/>
          <w:iCs w:val="0"/>
          <w:sz w:val="20"/>
          <w:szCs w:val="20"/>
          <w:lang w:val="en-US" w:eastAsia="zh-CN"/>
        </w:rPr>
      </w:pPr>
      <w:r>
        <w:rPr>
          <w:rFonts w:hint="eastAsia"/>
          <w:b/>
          <w:bCs w:val="0"/>
          <w:i/>
          <w:iCs w:val="0"/>
          <w:sz w:val="20"/>
          <w:szCs w:val="20"/>
          <w:lang w:val="en-US" w:eastAsia="zh-CN"/>
        </w:rPr>
        <w:t xml:space="preserve">Observation 1: For the 4Rx IMD MSD </w:t>
      </w:r>
      <w:r>
        <w:rPr>
          <w:rFonts w:hint="eastAsia"/>
          <w:b/>
          <w:i/>
          <w:iCs w:val="0"/>
          <w:sz w:val="20"/>
          <w:szCs w:val="20"/>
        </w:rPr>
        <w:t>in the applicable bands</w:t>
      </w:r>
      <w:r>
        <w:rPr>
          <w:rFonts w:hint="eastAsia"/>
          <w:b/>
          <w:i/>
          <w:iCs w:val="0"/>
          <w:sz w:val="20"/>
          <w:szCs w:val="20"/>
          <w:lang w:val="en-US" w:eastAsia="zh-CN"/>
        </w:rPr>
        <w:t xml:space="preserve"> for </w:t>
      </w:r>
      <w:r>
        <w:rPr>
          <w:rFonts w:hint="eastAsia"/>
          <w:b/>
          <w:bCs w:val="0"/>
          <w:i/>
          <w:iCs w:val="0"/>
          <w:sz w:val="20"/>
          <w:szCs w:val="20"/>
          <w:lang w:val="en-US" w:eastAsia="zh-CN"/>
        </w:rPr>
        <w:t>LTE inter-band CA, a general clarification and a NOTE were used, rather than list of the impacted carrier aggregations.</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b/>
          <w:bCs w:val="0"/>
          <w:i/>
          <w:iCs w:val="0"/>
          <w:sz w:val="20"/>
          <w:szCs w:val="20"/>
          <w:lang w:val="en-US" w:eastAsia="zh-CN"/>
        </w:rPr>
      </w:pPr>
      <w:r>
        <w:rPr>
          <w:rFonts w:hint="eastAsia"/>
          <w:b/>
          <w:bCs w:val="0"/>
          <w:i/>
          <w:iCs w:val="0"/>
          <w:sz w:val="20"/>
          <w:szCs w:val="20"/>
          <w:lang w:val="en-US" w:eastAsia="zh-CN"/>
        </w:rPr>
        <w:t xml:space="preserve">Observation 2: There were several bands supporting 4Rx as optional or mandatory from Rel-15, and the receiver </w:t>
      </w:r>
      <w:r>
        <w:rPr>
          <w:rFonts w:hint="eastAsia" w:ascii="Times New Roman" w:hAnsi="Times New Roman" w:eastAsia="宋体" w:cs="Times New Roman"/>
          <w:b/>
          <w:i/>
          <w:iCs w:val="0"/>
          <w:kern w:val="2"/>
          <w:sz w:val="20"/>
          <w:szCs w:val="20"/>
          <w:lang w:val="en-US" w:eastAsia="zh-CN" w:bidi="ar"/>
        </w:rPr>
        <w:t>requirement applies when the band is used as a standalone band or as part of a band combination</w:t>
      </w:r>
      <w:r>
        <w:rPr>
          <w:rFonts w:hint="eastAsia"/>
          <w:b/>
          <w:bCs w:val="0"/>
          <w:i/>
          <w:iCs w:val="0"/>
          <w:sz w:val="20"/>
          <w:szCs w:val="20"/>
          <w:lang w:val="en-US" w:eastAsia="zh-CN"/>
        </w:rPr>
        <w:t>.</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b/>
          <w:bCs w:val="0"/>
          <w:i/>
          <w:iCs w:val="0"/>
          <w:sz w:val="20"/>
          <w:szCs w:val="20"/>
          <w:lang w:val="en-US" w:eastAsia="zh-CN"/>
        </w:rPr>
      </w:pPr>
      <w:r>
        <w:rPr>
          <w:rFonts w:hint="eastAsia"/>
          <w:b/>
          <w:bCs w:val="0"/>
          <w:i/>
          <w:iCs w:val="0"/>
          <w:sz w:val="20"/>
          <w:szCs w:val="20"/>
          <w:lang w:val="en-US" w:eastAsia="zh-CN"/>
        </w:rPr>
        <w:t>Observation 3: For the constitute band support 4Rx as optional, the IMD MSD for this constitute band to support 4Rx operation should be defined.</w:t>
      </w:r>
    </w:p>
    <w:p>
      <w:pPr>
        <w:rPr>
          <w:rFonts w:hint="default"/>
          <w:kern w:val="0"/>
          <w:sz w:val="20"/>
          <w:highlight w:val="none"/>
          <w:lang w:val="en-US" w:eastAsia="zh-CN"/>
        </w:rPr>
      </w:pPr>
      <w:r>
        <w:rPr>
          <w:rFonts w:hint="eastAsia"/>
          <w:b/>
          <w:bCs w:val="0"/>
          <w:i/>
          <w:iCs w:val="0"/>
          <w:sz w:val="20"/>
          <w:szCs w:val="20"/>
          <w:lang w:val="en-US" w:eastAsia="zh-CN"/>
        </w:rPr>
        <w:t xml:space="preserve">Observation 4: For IMD issue, in-consistency 4Rx requirements for the MSD requirement for some band combination in 2UL/2DL and 2UL/3DL IMD MSD tables.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cs="Times New Roman"/>
          <w:b/>
          <w:bCs w:val="0"/>
          <w:i/>
          <w:iCs w:val="0"/>
          <w:kern w:val="2"/>
          <w:sz w:val="20"/>
          <w:szCs w:val="20"/>
          <w:highlight w:val="none"/>
          <w:lang w:val="en-US" w:eastAsia="zh-CN"/>
        </w:rPr>
      </w:pPr>
      <w:r>
        <w:rPr>
          <w:rFonts w:hint="eastAsia"/>
          <w:b/>
          <w:bCs w:val="0"/>
          <w:i/>
          <w:iCs w:val="0"/>
          <w:sz w:val="20"/>
          <w:szCs w:val="20"/>
          <w:lang w:val="en-US" w:eastAsia="zh-CN"/>
        </w:rPr>
        <w:t xml:space="preserve">Proposal 1: To add a new NOTE </w:t>
      </w:r>
      <w:r>
        <w:rPr>
          <w:rFonts w:hint="eastAsia" w:cs="Times New Roman"/>
          <w:b/>
          <w:bCs w:val="0"/>
          <w:i/>
          <w:kern w:val="2"/>
          <w:sz w:val="20"/>
          <w:szCs w:val="20"/>
          <w:highlight w:val="none"/>
          <w:lang w:val="en-US" w:eastAsia="zh-CN"/>
        </w:rPr>
        <w:t>in inter-band CA IMD MSD tables in Rel-15/16/17 TS38.101-1 specs: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ind w:left="1424" w:leftChars="200" w:hanging="1004" w:hangingChars="500"/>
        <w:textAlignment w:val="auto"/>
        <w:rPr>
          <w:rFonts w:hint="eastAsia"/>
          <w:b/>
          <w:i/>
          <w:iCs w:val="0"/>
          <w:sz w:val="20"/>
          <w:highlight w:val="none"/>
          <w:lang w:val="en-US" w:eastAsia="zh-CN"/>
        </w:rPr>
      </w:pPr>
      <w:r>
        <w:rPr>
          <w:rFonts w:hint="eastAsia" w:eastAsia="宋体"/>
          <w:b/>
          <w:i/>
          <w:sz w:val="20"/>
          <w:highlight w:val="none"/>
          <w:lang w:val="en-US" w:eastAsia="zh-CN"/>
        </w:rPr>
        <w:t xml:space="preserve">NOTE </w:t>
      </w:r>
      <w:r>
        <w:rPr>
          <w:rFonts w:hint="eastAsia"/>
          <w:b/>
          <w:i/>
          <w:sz w:val="20"/>
          <w:highlight w:val="none"/>
          <w:lang w:val="en-US" w:eastAsia="zh-CN"/>
        </w:rPr>
        <w:t>x</w:t>
      </w:r>
      <w:r>
        <w:rPr>
          <w:rFonts w:hint="eastAsia" w:eastAsia="宋体"/>
          <w:b/>
          <w:i/>
          <w:sz w:val="20"/>
          <w:highlight w:val="none"/>
          <w:lang w:val="en-US" w:eastAsia="zh-CN"/>
        </w:rPr>
        <w:t xml:space="preserve">: </w:t>
      </w:r>
      <w:r>
        <w:rPr>
          <w:rFonts w:hint="eastAsia" w:eastAsia="宋体"/>
          <w:b/>
          <w:i/>
          <w:iCs w:val="0"/>
          <w:sz w:val="20"/>
          <w:highlight w:val="none"/>
          <w:lang w:val="en-US" w:eastAsia="zh-CN"/>
        </w:rPr>
        <w:t xml:space="preserve"> </w:t>
      </w:r>
      <w:r>
        <w:rPr>
          <w:rFonts w:hint="eastAsia"/>
          <w:b/>
          <w:i/>
          <w:iCs w:val="0"/>
          <w:sz w:val="20"/>
          <w:highlight w:val="none"/>
        </w:rPr>
        <w:t xml:space="preserve">For operations with 4 </w:t>
      </w:r>
      <w:r>
        <w:rPr>
          <w:rFonts w:hint="eastAsia"/>
          <w:b/>
          <w:i/>
          <w:iCs w:val="0"/>
          <w:sz w:val="20"/>
          <w:highlight w:val="none"/>
          <w:lang w:val="en-US" w:eastAsia="zh-CN"/>
        </w:rPr>
        <w:t xml:space="preserve">Rx </w:t>
      </w:r>
      <w:r>
        <w:rPr>
          <w:rFonts w:hint="eastAsia"/>
          <w:b/>
          <w:i/>
          <w:iCs w:val="0"/>
          <w:sz w:val="20"/>
          <w:highlight w:val="none"/>
        </w:rPr>
        <w:t xml:space="preserve">antenna ports, the MSD in the applicable bands shall be </w:t>
      </w:r>
      <w:r>
        <w:rPr>
          <w:rFonts w:hint="eastAsia" w:eastAsia="宋体"/>
          <w:b/>
          <w:i/>
          <w:iCs w:val="0"/>
          <w:sz w:val="20"/>
          <w:highlight w:val="none"/>
          <w:lang w:eastAsia="zh-CN"/>
        </w:rPr>
        <w:t>modified</w:t>
      </w:r>
      <w:r>
        <w:rPr>
          <w:rFonts w:hint="eastAsia"/>
          <w:b/>
          <w:i/>
          <w:iCs w:val="0"/>
          <w:sz w:val="20"/>
          <w:highlight w:val="none"/>
        </w:rPr>
        <w:t xml:space="preserve"> by the absolute value of ΔR</w:t>
      </w:r>
      <w:r>
        <w:rPr>
          <w:rFonts w:hint="eastAsia"/>
          <w:b/>
          <w:i/>
          <w:iCs w:val="0"/>
          <w:sz w:val="20"/>
          <w:highlight w:val="none"/>
          <w:vertAlign w:val="subscript"/>
        </w:rPr>
        <w:t>IB,4R</w:t>
      </w:r>
      <w:r>
        <w:rPr>
          <w:rFonts w:hint="eastAsia"/>
          <w:b/>
          <w:i/>
          <w:iCs w:val="0"/>
          <w:sz w:val="20"/>
          <w:highlight w:val="none"/>
        </w:rPr>
        <w:t xml:space="preserve"> in Table </w:t>
      </w:r>
      <w:r>
        <w:rPr>
          <w:rFonts w:hint="eastAsia"/>
          <w:b/>
          <w:i/>
          <w:sz w:val="20"/>
          <w:highlight w:val="none"/>
        </w:rPr>
        <w:t>7.3.2-2</w:t>
      </w:r>
      <w:r>
        <w:rPr>
          <w:rFonts w:hint="eastAsia"/>
          <w:b/>
          <w:i/>
          <w:iCs w:val="0"/>
          <w:sz w:val="20"/>
          <w:highlight w:val="none"/>
        </w:rPr>
        <w:t xml:space="preserve"> when MSD &gt; 0</w:t>
      </w:r>
      <w:r>
        <w:rPr>
          <w:rFonts w:hint="eastAsia"/>
          <w:b/>
          <w:i/>
          <w:iCs w:val="0"/>
          <w:sz w:val="20"/>
          <w:highlight w:val="none"/>
          <w:lang w:val="en-US" w:eastAsia="zh-CN"/>
        </w:rPr>
        <w:t>, except the band that 4 Rx antenna ports support is set as the baseline in Table 7.3.2-1a and Table 7.3.2-1b.</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Based on the above proposal, the companion CRs can be found in [6~8] for TS38.101-1 </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TW"/>
        </w:rPr>
        <w:t>R4-</w:t>
      </w:r>
      <w:r>
        <w:rPr>
          <w:rFonts w:hint="eastAsia" w:ascii="Times New Roman" w:hAnsi="Times New Roman" w:eastAsia="宋体" w:cs="Times New Roman"/>
          <w:b w:val="0"/>
          <w:bCs w:val="0"/>
          <w:color w:val="auto"/>
          <w:sz w:val="20"/>
          <w:szCs w:val="20"/>
          <w:highlight w:val="none"/>
          <w:lang w:val="en-US" w:eastAsia="zh-CN"/>
        </w:rPr>
        <w:t>1702257</w:t>
      </w:r>
      <w:r>
        <w:rPr>
          <w:rFonts w:hint="eastAsia" w:ascii="Times New Roman" w:hAnsi="Times New Roman" w:eastAsia="宋体" w:cs="Times New Roman"/>
          <w:b w:val="0"/>
          <w:bCs w:val="0"/>
          <w:color w:val="auto"/>
          <w:sz w:val="20"/>
          <w:szCs w:val="20"/>
          <w:highlight w:val="none"/>
          <w:lang w:val="en-US" w:eastAsia="zh-TW"/>
        </w:rPr>
        <w:t>, WF on how to introduce 4Rx requirements for CA</w:t>
      </w:r>
      <w:r>
        <w:rPr>
          <w:rFonts w:hint="eastAsia" w:ascii="Times New Roman" w:hAnsi="Times New Roman" w:eastAsia="宋体" w:cs="Times New Roman"/>
          <w:b w:val="0"/>
          <w:bCs w:val="0"/>
          <w:color w:val="auto"/>
          <w:sz w:val="20"/>
          <w:szCs w:val="20"/>
          <w:highlight w:val="none"/>
          <w:lang w:val="en-US" w:eastAsia="zh-CN"/>
        </w:rPr>
        <w:t>, Huawei, Samsung, Docomo, Verizon, Sprint, Nokia, Qualcomm</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ja-JP"/>
        </w:rPr>
      </w:pPr>
      <w:r>
        <w:rPr>
          <w:rFonts w:hint="eastAsia"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w:t>
      </w:r>
      <w:r>
        <w:rPr>
          <w:rFonts w:hint="eastAsia" w:ascii="Times New Roman" w:hAnsi="Times New Roman" w:eastAsia="宋体" w:cs="Times New Roman"/>
          <w:b w:val="0"/>
          <w:bCs w:val="0"/>
          <w:color w:val="auto"/>
          <w:sz w:val="20"/>
          <w:szCs w:val="20"/>
          <w:highlight w:val="none"/>
          <w:lang w:val="en-US" w:eastAsia="ja-JP"/>
        </w:rPr>
        <w:t>1711837</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 xml:space="preserve">TP for TR 37.863-01-01 MSD for </w:t>
      </w:r>
      <w:r>
        <w:rPr>
          <w:rFonts w:hint="eastAsia" w:ascii="Times New Roman" w:hAnsi="Times New Roman" w:eastAsia="宋体" w:cs="Times New Roman"/>
          <w:b w:val="0"/>
          <w:bCs w:val="0"/>
          <w:color w:val="auto"/>
          <w:sz w:val="20"/>
          <w:szCs w:val="20"/>
          <w:highlight w:val="none"/>
          <w:lang w:val="en-US" w:eastAsia="ja-JP"/>
        </w:rPr>
        <w:t xml:space="preserve">2DL/2UL </w:t>
      </w:r>
      <w:r>
        <w:rPr>
          <w:rFonts w:hint="default" w:ascii="Times New Roman" w:hAnsi="Times New Roman" w:eastAsia="宋体" w:cs="Times New Roman"/>
          <w:b w:val="0"/>
          <w:bCs w:val="0"/>
          <w:color w:val="auto"/>
          <w:sz w:val="20"/>
          <w:szCs w:val="20"/>
          <w:highlight w:val="none"/>
          <w:lang w:val="en-US" w:eastAsia="ja-JP"/>
        </w:rPr>
        <w:t>DC combinations including Band n77, n78 and n79</w:t>
      </w:r>
      <w:bookmarkStart w:id="37" w:name="Source"/>
      <w:bookmarkEnd w:id="37"/>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ja-JP"/>
        </w:rPr>
        <w:t>NTT DOCOMO, INC.</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TW"/>
        </w:rPr>
      </w:pPr>
      <w:r>
        <w:rPr>
          <w:rFonts w:hint="eastAsia" w:cs="Times New Roman"/>
          <w:b w:val="0"/>
          <w:bCs w:val="0"/>
          <w:color w:val="auto"/>
          <w:sz w:val="20"/>
          <w:szCs w:val="20"/>
          <w:highlight w:val="none"/>
          <w:lang w:val="en-US" w:eastAsia="zh-CN"/>
        </w:rPr>
        <w:t>[3</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RP-213</w:t>
      </w:r>
      <w:r>
        <w:rPr>
          <w:rFonts w:hint="eastAsia" w:ascii="Times New Roman" w:hAnsi="Times New Roman" w:eastAsia="宋体" w:cs="Times New Roman"/>
          <w:b w:val="0"/>
          <w:bCs w:val="0"/>
          <w:color w:val="auto"/>
          <w:sz w:val="20"/>
          <w:szCs w:val="20"/>
          <w:highlight w:val="none"/>
          <w:lang w:val="en-US" w:eastAsia="zh-TW"/>
        </w:rPr>
        <w:t>659</w:t>
      </w:r>
      <w:r>
        <w:rPr>
          <w:rFonts w:hint="default" w:ascii="Times New Roman" w:hAnsi="Times New Roman" w:eastAsia="宋体" w:cs="Times New Roman"/>
          <w:b w:val="0"/>
          <w:bCs w:val="0"/>
          <w:color w:val="auto"/>
          <w:sz w:val="20"/>
          <w:szCs w:val="20"/>
          <w:highlight w:val="none"/>
          <w:lang w:val="en-US" w:eastAsia="ja-JP"/>
        </w:rPr>
        <w:t xml:space="preserve">, </w:t>
      </w:r>
      <w:r>
        <w:rPr>
          <w:rFonts w:hint="eastAsia" w:ascii="Times New Roman" w:hAnsi="Times New Roman" w:eastAsia="宋体" w:cs="Times New Roman"/>
          <w:b w:val="0"/>
          <w:bCs w:val="0"/>
          <w:color w:val="auto"/>
          <w:sz w:val="20"/>
          <w:szCs w:val="20"/>
          <w:highlight w:val="none"/>
          <w:lang w:val="en-US" w:eastAsia="zh-TW"/>
        </w:rPr>
        <w:t>New</w:t>
      </w:r>
      <w:r>
        <w:rPr>
          <w:rFonts w:hint="default" w:ascii="Times New Roman" w:hAnsi="Times New Roman" w:eastAsia="宋体" w:cs="Times New Roman"/>
          <w:b w:val="0"/>
          <w:bCs w:val="0"/>
          <w:color w:val="auto"/>
          <w:sz w:val="20"/>
          <w:szCs w:val="20"/>
          <w:highlight w:val="none"/>
          <w:lang w:val="en-US" w:eastAsia="zh-CN"/>
        </w:rPr>
        <w:t xml:space="preserve"> WID: </w:t>
      </w:r>
      <w:r>
        <w:rPr>
          <w:rFonts w:hint="eastAsia" w:ascii="Times New Roman" w:hAnsi="Times New Roman" w:eastAsia="宋体" w:cs="Times New Roman"/>
          <w:b w:val="0"/>
          <w:bCs w:val="0"/>
          <w:color w:val="auto"/>
          <w:sz w:val="20"/>
          <w:szCs w:val="20"/>
          <w:highlight w:val="none"/>
          <w:lang w:val="en-US" w:eastAsia="zh-TW"/>
        </w:rPr>
        <w:t>4Rx support for NR band n8</w:t>
      </w:r>
      <w:r>
        <w:rPr>
          <w:rFonts w:hint="default" w:ascii="Times New Roman" w:hAnsi="Times New Roman" w:eastAsia="宋体" w:cs="Times New Roman"/>
          <w:b w:val="0"/>
          <w:bCs w:val="0"/>
          <w:color w:val="auto"/>
          <w:sz w:val="20"/>
          <w:szCs w:val="20"/>
          <w:highlight w:val="none"/>
          <w:lang w:val="en-US" w:eastAsia="ja-JP"/>
        </w:rPr>
        <w:t xml:space="preserve">, </w:t>
      </w:r>
      <w:r>
        <w:rPr>
          <w:rFonts w:hint="eastAsia" w:ascii="Times New Roman" w:hAnsi="Times New Roman" w:eastAsia="宋体" w:cs="Times New Roman"/>
          <w:b w:val="0"/>
          <w:bCs w:val="0"/>
          <w:color w:val="auto"/>
          <w:sz w:val="20"/>
          <w:szCs w:val="20"/>
          <w:highlight w:val="none"/>
          <w:lang w:val="en-US" w:eastAsia="zh-TW"/>
        </w:rPr>
        <w:t>CHTTL</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4</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RP-172788</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Mandatory 4Rx antenna performance for NR UE</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Vodafone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5</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R4-1815843</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Draft CR for 38.101-1</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adding some 4Rx bands</w:t>
      </w:r>
      <w:r>
        <w:rPr>
          <w:rFonts w:hint="eastAsia" w:ascii="Times New Roman" w:hAnsi="Times New Roman" w:eastAsia="宋体" w:cs="Times New Roman"/>
          <w:b w:val="0"/>
          <w:bCs w:val="0"/>
          <w:color w:val="auto"/>
          <w:sz w:val="20"/>
          <w:szCs w:val="20"/>
          <w:highlight w:val="none"/>
          <w:lang w:val="en-US" w:eastAsia="zh-CN"/>
        </w:rPr>
        <w:t>, Huawei</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eastAsia" w:cs="Times New Roman"/>
          <w:b w:val="0"/>
          <w:bCs w:val="0"/>
          <w:color w:val="auto"/>
          <w:sz w:val="20"/>
          <w:szCs w:val="20"/>
          <w:highlight w:val="none"/>
          <w:lang w:val="en-US" w:eastAsia="zh-CN"/>
        </w:rPr>
      </w:pPr>
      <w:bookmarkStart w:id="38" w:name="OLE_LINK4"/>
      <w:r>
        <w:rPr>
          <w:rFonts w:hint="eastAsia" w:cs="Times New Roman"/>
          <w:b w:val="0"/>
          <w:bCs w:val="0"/>
          <w:color w:val="auto"/>
          <w:sz w:val="20"/>
          <w:szCs w:val="20"/>
          <w:highlight w:val="none"/>
          <w:lang w:val="en-US" w:eastAsia="zh-CN"/>
        </w:rPr>
        <w:t xml:space="preserve">[6] R4-2212709, draft CR to TS38.101-1[R15] 4Rx for </w:t>
      </w:r>
      <w:bookmarkStart w:id="39" w:name="OLE_LINK2"/>
      <w:r>
        <w:rPr>
          <w:rFonts w:hint="eastAsia" w:cs="Times New Roman"/>
          <w:b w:val="0"/>
          <w:bCs w:val="0"/>
          <w:color w:val="auto"/>
          <w:sz w:val="20"/>
          <w:szCs w:val="20"/>
          <w:highlight w:val="none"/>
          <w:lang w:val="en-US" w:eastAsia="zh-CN"/>
        </w:rPr>
        <w:t>inter-band</w:t>
      </w:r>
      <w:bookmarkEnd w:id="39"/>
      <w:r>
        <w:rPr>
          <w:rFonts w:hint="eastAsia" w:cs="Times New Roman"/>
          <w:b w:val="0"/>
          <w:bCs w:val="0"/>
          <w:color w:val="auto"/>
          <w:sz w:val="20"/>
          <w:szCs w:val="20"/>
          <w:highlight w:val="none"/>
          <w:lang w:val="en-US" w:eastAsia="zh-CN"/>
        </w:rPr>
        <w:t xml:space="preserve"> NR CA, ZTE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bookmarkStart w:id="40" w:name="OLE_LINK3"/>
      <w:r>
        <w:rPr>
          <w:rFonts w:hint="eastAsia" w:cs="Times New Roman"/>
          <w:b w:val="0"/>
          <w:bCs w:val="0"/>
          <w:color w:val="auto"/>
          <w:sz w:val="20"/>
          <w:szCs w:val="20"/>
          <w:highlight w:val="none"/>
          <w:lang w:val="en-US" w:eastAsia="zh-CN"/>
        </w:rPr>
        <w:t>[7] R4-2212710, draft CR to TS38.101-1[R16] 4Rx for inter-band NR CA, ZTE</w:t>
      </w:r>
    </w:p>
    <w:bookmarkEnd w:id="40"/>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r>
        <w:rPr>
          <w:rFonts w:hint="eastAsia" w:cs="Times New Roman"/>
          <w:b w:val="0"/>
          <w:bCs w:val="0"/>
          <w:color w:val="auto"/>
          <w:sz w:val="20"/>
          <w:szCs w:val="20"/>
          <w:highlight w:val="none"/>
          <w:lang w:val="en-US" w:eastAsia="zh-CN"/>
        </w:rPr>
        <w:t>[8] R4-2212711</w:t>
      </w:r>
      <w:bookmarkStart w:id="41" w:name="_GoBack"/>
      <w:bookmarkEnd w:id="41"/>
      <w:r>
        <w:rPr>
          <w:rFonts w:hint="eastAsia" w:cs="Times New Roman"/>
          <w:b w:val="0"/>
          <w:bCs w:val="0"/>
          <w:color w:val="auto"/>
          <w:sz w:val="20"/>
          <w:szCs w:val="20"/>
          <w:highlight w:val="none"/>
          <w:lang w:val="en-US" w:eastAsia="zh-CN"/>
        </w:rPr>
        <w:t>, draft CR to TS38.101-1[R17] 4Rx for inter-band NR CA, ZTE</w:t>
      </w:r>
    </w:p>
    <w:bookmarkEnd w:id="38"/>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cs="Times New Roman"/>
          <w:b w:val="0"/>
          <w:bCs w:val="0"/>
          <w:color w:val="auto"/>
          <w:sz w:val="20"/>
          <w:szCs w:val="20"/>
          <w:highlight w:val="none"/>
          <w:lang w:val="en-US" w:eastAsia="zh-TW"/>
        </w:rPr>
      </w:pPr>
    </w:p>
    <w:p>
      <w:pPr>
        <w:keepNext w:val="0"/>
        <w:keepLines w:val="0"/>
        <w:pageBreakBefore w:val="0"/>
        <w:widowControl/>
        <w:kinsoku/>
        <w:wordWrap/>
        <w:overflowPunct/>
        <w:topLinePunct w:val="0"/>
        <w:autoSpaceDE/>
        <w:autoSpaceDN/>
        <w:bidi w:val="0"/>
        <w:adjustRightInd/>
        <w:snapToGrid/>
        <w:spacing w:beforeLines="0" w:afterLines="0" w:line="240" w:lineRule="auto"/>
        <w:jc w:val="left"/>
        <w:textAlignment w:val="auto"/>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536583"/>
    <w:rsid w:val="01764F01"/>
    <w:rsid w:val="01854FE9"/>
    <w:rsid w:val="018E207B"/>
    <w:rsid w:val="0190283E"/>
    <w:rsid w:val="019D155B"/>
    <w:rsid w:val="01A428BB"/>
    <w:rsid w:val="01AE307F"/>
    <w:rsid w:val="01B35169"/>
    <w:rsid w:val="01C00B7B"/>
    <w:rsid w:val="01D46B8D"/>
    <w:rsid w:val="01EE2663"/>
    <w:rsid w:val="01FB366B"/>
    <w:rsid w:val="01FD3930"/>
    <w:rsid w:val="022D4A6E"/>
    <w:rsid w:val="023B0A39"/>
    <w:rsid w:val="023C78A7"/>
    <w:rsid w:val="02444B7E"/>
    <w:rsid w:val="024B023C"/>
    <w:rsid w:val="024D6B6A"/>
    <w:rsid w:val="02566C17"/>
    <w:rsid w:val="027275A1"/>
    <w:rsid w:val="027371D9"/>
    <w:rsid w:val="0276366F"/>
    <w:rsid w:val="027F646E"/>
    <w:rsid w:val="028F6D4C"/>
    <w:rsid w:val="029A69A7"/>
    <w:rsid w:val="029B04E7"/>
    <w:rsid w:val="02DC3F9C"/>
    <w:rsid w:val="03073BDC"/>
    <w:rsid w:val="030B0647"/>
    <w:rsid w:val="030C40C1"/>
    <w:rsid w:val="03445E8F"/>
    <w:rsid w:val="03527C38"/>
    <w:rsid w:val="0356746F"/>
    <w:rsid w:val="03746F87"/>
    <w:rsid w:val="03814F5B"/>
    <w:rsid w:val="03A77DFA"/>
    <w:rsid w:val="03B339B1"/>
    <w:rsid w:val="03C05350"/>
    <w:rsid w:val="03C1287B"/>
    <w:rsid w:val="03CF67FA"/>
    <w:rsid w:val="03E0030D"/>
    <w:rsid w:val="03E358F3"/>
    <w:rsid w:val="04030035"/>
    <w:rsid w:val="04251A4C"/>
    <w:rsid w:val="042D2E97"/>
    <w:rsid w:val="04305EA0"/>
    <w:rsid w:val="043865BF"/>
    <w:rsid w:val="044C78D8"/>
    <w:rsid w:val="04684A28"/>
    <w:rsid w:val="04782230"/>
    <w:rsid w:val="0479507E"/>
    <w:rsid w:val="04894975"/>
    <w:rsid w:val="048D6A80"/>
    <w:rsid w:val="04B14B03"/>
    <w:rsid w:val="04DA1A87"/>
    <w:rsid w:val="04FF1C94"/>
    <w:rsid w:val="04FF7D5A"/>
    <w:rsid w:val="0502349F"/>
    <w:rsid w:val="050E7487"/>
    <w:rsid w:val="05161D2D"/>
    <w:rsid w:val="052E568F"/>
    <w:rsid w:val="053973F0"/>
    <w:rsid w:val="053E65E7"/>
    <w:rsid w:val="0555228E"/>
    <w:rsid w:val="057D1D66"/>
    <w:rsid w:val="059D265F"/>
    <w:rsid w:val="05B92EC1"/>
    <w:rsid w:val="05E078B3"/>
    <w:rsid w:val="0601277E"/>
    <w:rsid w:val="060C5AED"/>
    <w:rsid w:val="06103146"/>
    <w:rsid w:val="06172561"/>
    <w:rsid w:val="061E54DA"/>
    <w:rsid w:val="061E5E22"/>
    <w:rsid w:val="06460B91"/>
    <w:rsid w:val="067C28D6"/>
    <w:rsid w:val="068E06BC"/>
    <w:rsid w:val="06B741D9"/>
    <w:rsid w:val="06C457B6"/>
    <w:rsid w:val="06DF4C13"/>
    <w:rsid w:val="06E63AD6"/>
    <w:rsid w:val="06E7678C"/>
    <w:rsid w:val="06F42A88"/>
    <w:rsid w:val="06F801C0"/>
    <w:rsid w:val="071C0C88"/>
    <w:rsid w:val="071C13A8"/>
    <w:rsid w:val="073D143C"/>
    <w:rsid w:val="074855FD"/>
    <w:rsid w:val="07627CA0"/>
    <w:rsid w:val="076319C4"/>
    <w:rsid w:val="077241E3"/>
    <w:rsid w:val="078C5933"/>
    <w:rsid w:val="078D336C"/>
    <w:rsid w:val="07971B3F"/>
    <w:rsid w:val="07983294"/>
    <w:rsid w:val="07A5677E"/>
    <w:rsid w:val="07B9290D"/>
    <w:rsid w:val="07BE52B9"/>
    <w:rsid w:val="07D57946"/>
    <w:rsid w:val="07ED524D"/>
    <w:rsid w:val="080124E3"/>
    <w:rsid w:val="080C7FA0"/>
    <w:rsid w:val="08341060"/>
    <w:rsid w:val="0889002B"/>
    <w:rsid w:val="08A21572"/>
    <w:rsid w:val="08A44DA6"/>
    <w:rsid w:val="08AA245A"/>
    <w:rsid w:val="08C562FD"/>
    <w:rsid w:val="08CA27B1"/>
    <w:rsid w:val="08DD6674"/>
    <w:rsid w:val="08E916DF"/>
    <w:rsid w:val="09306537"/>
    <w:rsid w:val="09355076"/>
    <w:rsid w:val="09392119"/>
    <w:rsid w:val="09543B3B"/>
    <w:rsid w:val="098143BC"/>
    <w:rsid w:val="09BD407A"/>
    <w:rsid w:val="09BF2FF4"/>
    <w:rsid w:val="09DA0E26"/>
    <w:rsid w:val="09E55691"/>
    <w:rsid w:val="09F67CD5"/>
    <w:rsid w:val="0A075707"/>
    <w:rsid w:val="0A0835C8"/>
    <w:rsid w:val="0A145721"/>
    <w:rsid w:val="0A1C3917"/>
    <w:rsid w:val="0A3708FF"/>
    <w:rsid w:val="0A3B01F9"/>
    <w:rsid w:val="0A3F0488"/>
    <w:rsid w:val="0A402A36"/>
    <w:rsid w:val="0A646214"/>
    <w:rsid w:val="0A646846"/>
    <w:rsid w:val="0A9E3D3D"/>
    <w:rsid w:val="0AA077E0"/>
    <w:rsid w:val="0AC0212C"/>
    <w:rsid w:val="0ADD5A20"/>
    <w:rsid w:val="0AE10FD9"/>
    <w:rsid w:val="0AF13898"/>
    <w:rsid w:val="0AFB3228"/>
    <w:rsid w:val="0AFC6C07"/>
    <w:rsid w:val="0B0F025C"/>
    <w:rsid w:val="0B1A6333"/>
    <w:rsid w:val="0B2713F4"/>
    <w:rsid w:val="0B3D701F"/>
    <w:rsid w:val="0B3E7DD7"/>
    <w:rsid w:val="0B561995"/>
    <w:rsid w:val="0B5C2C2A"/>
    <w:rsid w:val="0B665E0A"/>
    <w:rsid w:val="0B847B39"/>
    <w:rsid w:val="0B9E71DF"/>
    <w:rsid w:val="0BB524B8"/>
    <w:rsid w:val="0BCC4B6A"/>
    <w:rsid w:val="0C1E494F"/>
    <w:rsid w:val="0C3427D0"/>
    <w:rsid w:val="0C43327D"/>
    <w:rsid w:val="0C4426AF"/>
    <w:rsid w:val="0C4577EC"/>
    <w:rsid w:val="0C5C6396"/>
    <w:rsid w:val="0C650A20"/>
    <w:rsid w:val="0C6E11B8"/>
    <w:rsid w:val="0C723CD1"/>
    <w:rsid w:val="0C7242ED"/>
    <w:rsid w:val="0CB94808"/>
    <w:rsid w:val="0CC37BC2"/>
    <w:rsid w:val="0CD87ABE"/>
    <w:rsid w:val="0CE26C42"/>
    <w:rsid w:val="0CE76B48"/>
    <w:rsid w:val="0CFB523A"/>
    <w:rsid w:val="0D6E2620"/>
    <w:rsid w:val="0D704E21"/>
    <w:rsid w:val="0D7F48FE"/>
    <w:rsid w:val="0D883C88"/>
    <w:rsid w:val="0D966BF7"/>
    <w:rsid w:val="0DCC3AE8"/>
    <w:rsid w:val="0DD87842"/>
    <w:rsid w:val="0DF202E1"/>
    <w:rsid w:val="0DF53CE3"/>
    <w:rsid w:val="0E0961C5"/>
    <w:rsid w:val="0E147898"/>
    <w:rsid w:val="0E2F216B"/>
    <w:rsid w:val="0E3352C6"/>
    <w:rsid w:val="0E6271DF"/>
    <w:rsid w:val="0E81568A"/>
    <w:rsid w:val="0E942250"/>
    <w:rsid w:val="0E963344"/>
    <w:rsid w:val="0E9E6E00"/>
    <w:rsid w:val="0EA40C1C"/>
    <w:rsid w:val="0EEC6F1D"/>
    <w:rsid w:val="0F103291"/>
    <w:rsid w:val="0F1D498B"/>
    <w:rsid w:val="0F337178"/>
    <w:rsid w:val="0F41022A"/>
    <w:rsid w:val="0F60682C"/>
    <w:rsid w:val="0F6763D9"/>
    <w:rsid w:val="0F715B2B"/>
    <w:rsid w:val="0F764270"/>
    <w:rsid w:val="0F957B47"/>
    <w:rsid w:val="0F98796C"/>
    <w:rsid w:val="0FAD33DA"/>
    <w:rsid w:val="0FBE2A42"/>
    <w:rsid w:val="0FC17CCE"/>
    <w:rsid w:val="0FC424B9"/>
    <w:rsid w:val="0FD70565"/>
    <w:rsid w:val="0FEC680C"/>
    <w:rsid w:val="10007AD6"/>
    <w:rsid w:val="101C4A03"/>
    <w:rsid w:val="101D0C86"/>
    <w:rsid w:val="104A023B"/>
    <w:rsid w:val="10505F3B"/>
    <w:rsid w:val="106D2686"/>
    <w:rsid w:val="107C3E2C"/>
    <w:rsid w:val="107D41AE"/>
    <w:rsid w:val="10810C9C"/>
    <w:rsid w:val="10C715C5"/>
    <w:rsid w:val="10D335EF"/>
    <w:rsid w:val="10E746EA"/>
    <w:rsid w:val="10E83FE0"/>
    <w:rsid w:val="10EC3168"/>
    <w:rsid w:val="10F52718"/>
    <w:rsid w:val="114028DC"/>
    <w:rsid w:val="116F1EB0"/>
    <w:rsid w:val="117B1D6A"/>
    <w:rsid w:val="117C2D9D"/>
    <w:rsid w:val="117F159E"/>
    <w:rsid w:val="11821DC9"/>
    <w:rsid w:val="11921373"/>
    <w:rsid w:val="119D7849"/>
    <w:rsid w:val="11C67B8F"/>
    <w:rsid w:val="11CC2874"/>
    <w:rsid w:val="11E57D4F"/>
    <w:rsid w:val="11F92DAB"/>
    <w:rsid w:val="11FC38D5"/>
    <w:rsid w:val="1210682D"/>
    <w:rsid w:val="123A05DB"/>
    <w:rsid w:val="124240B9"/>
    <w:rsid w:val="12680E73"/>
    <w:rsid w:val="127E5AA6"/>
    <w:rsid w:val="128B2749"/>
    <w:rsid w:val="129811DB"/>
    <w:rsid w:val="12AB7A32"/>
    <w:rsid w:val="12BB6535"/>
    <w:rsid w:val="12C7312B"/>
    <w:rsid w:val="12D22971"/>
    <w:rsid w:val="12D85654"/>
    <w:rsid w:val="12EE5106"/>
    <w:rsid w:val="1307341C"/>
    <w:rsid w:val="130E3629"/>
    <w:rsid w:val="131B39D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559C4"/>
    <w:rsid w:val="14AC0C32"/>
    <w:rsid w:val="14C45576"/>
    <w:rsid w:val="14DA3DA1"/>
    <w:rsid w:val="14E60B42"/>
    <w:rsid w:val="14EA1C4D"/>
    <w:rsid w:val="14EC442E"/>
    <w:rsid w:val="1515004B"/>
    <w:rsid w:val="15207BBA"/>
    <w:rsid w:val="152F4E1B"/>
    <w:rsid w:val="154D342A"/>
    <w:rsid w:val="1559587F"/>
    <w:rsid w:val="1574662E"/>
    <w:rsid w:val="15751882"/>
    <w:rsid w:val="1575191B"/>
    <w:rsid w:val="159F73BB"/>
    <w:rsid w:val="15B03F28"/>
    <w:rsid w:val="15E30A80"/>
    <w:rsid w:val="1608480E"/>
    <w:rsid w:val="161C1C58"/>
    <w:rsid w:val="162F7556"/>
    <w:rsid w:val="16413A3A"/>
    <w:rsid w:val="1644500C"/>
    <w:rsid w:val="16461A95"/>
    <w:rsid w:val="16594F06"/>
    <w:rsid w:val="166F5E80"/>
    <w:rsid w:val="16766A92"/>
    <w:rsid w:val="167A52A9"/>
    <w:rsid w:val="16866882"/>
    <w:rsid w:val="168F69F2"/>
    <w:rsid w:val="16A4319F"/>
    <w:rsid w:val="16AC4DDB"/>
    <w:rsid w:val="16AE2FE3"/>
    <w:rsid w:val="16B4400E"/>
    <w:rsid w:val="16C739DF"/>
    <w:rsid w:val="16EB6E00"/>
    <w:rsid w:val="16FD2447"/>
    <w:rsid w:val="1712339A"/>
    <w:rsid w:val="171E63FC"/>
    <w:rsid w:val="1722504D"/>
    <w:rsid w:val="1738730F"/>
    <w:rsid w:val="17416499"/>
    <w:rsid w:val="17481B81"/>
    <w:rsid w:val="175007ED"/>
    <w:rsid w:val="176B45C6"/>
    <w:rsid w:val="176C447F"/>
    <w:rsid w:val="17875303"/>
    <w:rsid w:val="1793626E"/>
    <w:rsid w:val="17A875F5"/>
    <w:rsid w:val="17E66DD8"/>
    <w:rsid w:val="17E84839"/>
    <w:rsid w:val="17EE1403"/>
    <w:rsid w:val="17F25234"/>
    <w:rsid w:val="17FF6314"/>
    <w:rsid w:val="18005F41"/>
    <w:rsid w:val="18025414"/>
    <w:rsid w:val="18171305"/>
    <w:rsid w:val="18334194"/>
    <w:rsid w:val="183E1D37"/>
    <w:rsid w:val="184D0787"/>
    <w:rsid w:val="18812331"/>
    <w:rsid w:val="18816F1C"/>
    <w:rsid w:val="18853F3E"/>
    <w:rsid w:val="18956393"/>
    <w:rsid w:val="18A8582C"/>
    <w:rsid w:val="18B16750"/>
    <w:rsid w:val="18B50543"/>
    <w:rsid w:val="18CD7A02"/>
    <w:rsid w:val="19001FFC"/>
    <w:rsid w:val="190E2B4A"/>
    <w:rsid w:val="19256D7A"/>
    <w:rsid w:val="193275C2"/>
    <w:rsid w:val="193B57F0"/>
    <w:rsid w:val="19663168"/>
    <w:rsid w:val="19786B0A"/>
    <w:rsid w:val="19B46E10"/>
    <w:rsid w:val="19C456C1"/>
    <w:rsid w:val="19F061A1"/>
    <w:rsid w:val="1A054259"/>
    <w:rsid w:val="1A165171"/>
    <w:rsid w:val="1A4858FF"/>
    <w:rsid w:val="1A4C698A"/>
    <w:rsid w:val="1A5E4B5A"/>
    <w:rsid w:val="1A672B1C"/>
    <w:rsid w:val="1A8301C0"/>
    <w:rsid w:val="1A872248"/>
    <w:rsid w:val="1A9E6232"/>
    <w:rsid w:val="1AA74D3D"/>
    <w:rsid w:val="1AB34DB4"/>
    <w:rsid w:val="1AB613FD"/>
    <w:rsid w:val="1AD26086"/>
    <w:rsid w:val="1AE013F8"/>
    <w:rsid w:val="1AE8570C"/>
    <w:rsid w:val="1B2160BB"/>
    <w:rsid w:val="1B3637AD"/>
    <w:rsid w:val="1B3E0DB5"/>
    <w:rsid w:val="1B454C94"/>
    <w:rsid w:val="1B7F6005"/>
    <w:rsid w:val="1B9C269A"/>
    <w:rsid w:val="1B9E64C5"/>
    <w:rsid w:val="1BC01115"/>
    <w:rsid w:val="1BC44015"/>
    <w:rsid w:val="1BCA6284"/>
    <w:rsid w:val="1C013494"/>
    <w:rsid w:val="1C053414"/>
    <w:rsid w:val="1C132CB9"/>
    <w:rsid w:val="1C273D33"/>
    <w:rsid w:val="1C4032AB"/>
    <w:rsid w:val="1C4672ED"/>
    <w:rsid w:val="1C467AB6"/>
    <w:rsid w:val="1C6277A9"/>
    <w:rsid w:val="1C7F54CE"/>
    <w:rsid w:val="1C7F743F"/>
    <w:rsid w:val="1C834D23"/>
    <w:rsid w:val="1C8C4AA9"/>
    <w:rsid w:val="1C8C604B"/>
    <w:rsid w:val="1C973EEF"/>
    <w:rsid w:val="1CAF5DB2"/>
    <w:rsid w:val="1CCC26CA"/>
    <w:rsid w:val="1CD2156B"/>
    <w:rsid w:val="1CD41743"/>
    <w:rsid w:val="1CD44D3D"/>
    <w:rsid w:val="1CE615C9"/>
    <w:rsid w:val="1D037029"/>
    <w:rsid w:val="1D3305FF"/>
    <w:rsid w:val="1D395282"/>
    <w:rsid w:val="1D5F5386"/>
    <w:rsid w:val="1D7072CE"/>
    <w:rsid w:val="1D9E30A9"/>
    <w:rsid w:val="1DAB1006"/>
    <w:rsid w:val="1DB33C11"/>
    <w:rsid w:val="1DE94164"/>
    <w:rsid w:val="1E164B52"/>
    <w:rsid w:val="1E273844"/>
    <w:rsid w:val="1E2F243E"/>
    <w:rsid w:val="1E455D19"/>
    <w:rsid w:val="1E595CAF"/>
    <w:rsid w:val="1E6607F9"/>
    <w:rsid w:val="1E805396"/>
    <w:rsid w:val="1E884F62"/>
    <w:rsid w:val="1E9D6342"/>
    <w:rsid w:val="1EA77730"/>
    <w:rsid w:val="1EC36E9D"/>
    <w:rsid w:val="1EE25FDD"/>
    <w:rsid w:val="1EF5103F"/>
    <w:rsid w:val="1F090F9B"/>
    <w:rsid w:val="1F0E5D6B"/>
    <w:rsid w:val="1F4F2219"/>
    <w:rsid w:val="1F602967"/>
    <w:rsid w:val="1F634D5C"/>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B642C2"/>
    <w:rsid w:val="20BF2AAC"/>
    <w:rsid w:val="20C849C7"/>
    <w:rsid w:val="20DF66D2"/>
    <w:rsid w:val="20EC3F2E"/>
    <w:rsid w:val="20EC7C3E"/>
    <w:rsid w:val="210548E9"/>
    <w:rsid w:val="21124D15"/>
    <w:rsid w:val="213E7119"/>
    <w:rsid w:val="21553935"/>
    <w:rsid w:val="21810744"/>
    <w:rsid w:val="218D6EF5"/>
    <w:rsid w:val="2195668B"/>
    <w:rsid w:val="21A130EA"/>
    <w:rsid w:val="21C267BF"/>
    <w:rsid w:val="21CD6BCD"/>
    <w:rsid w:val="21CE6067"/>
    <w:rsid w:val="21F00127"/>
    <w:rsid w:val="221D2FA3"/>
    <w:rsid w:val="2226635F"/>
    <w:rsid w:val="222D4F0B"/>
    <w:rsid w:val="223D7545"/>
    <w:rsid w:val="22411D14"/>
    <w:rsid w:val="22423BE1"/>
    <w:rsid w:val="22454449"/>
    <w:rsid w:val="22500810"/>
    <w:rsid w:val="22682935"/>
    <w:rsid w:val="228A4698"/>
    <w:rsid w:val="22945167"/>
    <w:rsid w:val="22A55CD5"/>
    <w:rsid w:val="22C74EE2"/>
    <w:rsid w:val="22CB6237"/>
    <w:rsid w:val="22CD14B5"/>
    <w:rsid w:val="22E02C6E"/>
    <w:rsid w:val="22E04FF4"/>
    <w:rsid w:val="22E1121B"/>
    <w:rsid w:val="22EA4C70"/>
    <w:rsid w:val="233C6F76"/>
    <w:rsid w:val="234449F5"/>
    <w:rsid w:val="23536618"/>
    <w:rsid w:val="23816932"/>
    <w:rsid w:val="23A9484E"/>
    <w:rsid w:val="23B32F98"/>
    <w:rsid w:val="23B84268"/>
    <w:rsid w:val="23D17D7B"/>
    <w:rsid w:val="23D36D91"/>
    <w:rsid w:val="23F70BA5"/>
    <w:rsid w:val="23F93D0D"/>
    <w:rsid w:val="2405417E"/>
    <w:rsid w:val="241B5C62"/>
    <w:rsid w:val="244B0AD4"/>
    <w:rsid w:val="245872F9"/>
    <w:rsid w:val="245943D9"/>
    <w:rsid w:val="245E6B64"/>
    <w:rsid w:val="2463385E"/>
    <w:rsid w:val="246606B3"/>
    <w:rsid w:val="248A4632"/>
    <w:rsid w:val="24967323"/>
    <w:rsid w:val="249D5FC8"/>
    <w:rsid w:val="24A1538E"/>
    <w:rsid w:val="24B9450F"/>
    <w:rsid w:val="24C83F94"/>
    <w:rsid w:val="24F60CDA"/>
    <w:rsid w:val="250D450C"/>
    <w:rsid w:val="25134332"/>
    <w:rsid w:val="25141A5B"/>
    <w:rsid w:val="252B49E0"/>
    <w:rsid w:val="25325566"/>
    <w:rsid w:val="25734B61"/>
    <w:rsid w:val="25975923"/>
    <w:rsid w:val="259A3D0A"/>
    <w:rsid w:val="25A95F3E"/>
    <w:rsid w:val="25BF6041"/>
    <w:rsid w:val="25C35718"/>
    <w:rsid w:val="25CF0252"/>
    <w:rsid w:val="25D0248E"/>
    <w:rsid w:val="25F81D70"/>
    <w:rsid w:val="25FB5636"/>
    <w:rsid w:val="25FE58A9"/>
    <w:rsid w:val="26010F2A"/>
    <w:rsid w:val="26070462"/>
    <w:rsid w:val="260D2C45"/>
    <w:rsid w:val="26395C92"/>
    <w:rsid w:val="266237C3"/>
    <w:rsid w:val="267550B9"/>
    <w:rsid w:val="26C472EC"/>
    <w:rsid w:val="26EC491A"/>
    <w:rsid w:val="26ED73E1"/>
    <w:rsid w:val="27047832"/>
    <w:rsid w:val="272F31A0"/>
    <w:rsid w:val="27342901"/>
    <w:rsid w:val="273D2762"/>
    <w:rsid w:val="27470B72"/>
    <w:rsid w:val="27525E32"/>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4E766A"/>
    <w:rsid w:val="2978319A"/>
    <w:rsid w:val="29A3014B"/>
    <w:rsid w:val="29A74CBD"/>
    <w:rsid w:val="29B01C34"/>
    <w:rsid w:val="29B16357"/>
    <w:rsid w:val="29BA0D88"/>
    <w:rsid w:val="29CF32B2"/>
    <w:rsid w:val="29DE15A2"/>
    <w:rsid w:val="29EF3680"/>
    <w:rsid w:val="29EF424E"/>
    <w:rsid w:val="29FA7F26"/>
    <w:rsid w:val="2A35650F"/>
    <w:rsid w:val="2A405845"/>
    <w:rsid w:val="2A6E31F8"/>
    <w:rsid w:val="2A8A2F9C"/>
    <w:rsid w:val="2AAC5A06"/>
    <w:rsid w:val="2ABB3D6F"/>
    <w:rsid w:val="2AC70B30"/>
    <w:rsid w:val="2ACC2AAF"/>
    <w:rsid w:val="2AD74744"/>
    <w:rsid w:val="2AD91AC2"/>
    <w:rsid w:val="2AE57C95"/>
    <w:rsid w:val="2AF35C8B"/>
    <w:rsid w:val="2B132265"/>
    <w:rsid w:val="2B214776"/>
    <w:rsid w:val="2B2843BE"/>
    <w:rsid w:val="2B313FC1"/>
    <w:rsid w:val="2B347C14"/>
    <w:rsid w:val="2B39348E"/>
    <w:rsid w:val="2B3F10E0"/>
    <w:rsid w:val="2B437285"/>
    <w:rsid w:val="2B4D695C"/>
    <w:rsid w:val="2B514803"/>
    <w:rsid w:val="2B5F2285"/>
    <w:rsid w:val="2B637D4B"/>
    <w:rsid w:val="2B6B1684"/>
    <w:rsid w:val="2B7B70BF"/>
    <w:rsid w:val="2B8B422C"/>
    <w:rsid w:val="2BA07D38"/>
    <w:rsid w:val="2BC40957"/>
    <w:rsid w:val="2BCB5DAA"/>
    <w:rsid w:val="2BF369B9"/>
    <w:rsid w:val="2BFC0A4A"/>
    <w:rsid w:val="2C094904"/>
    <w:rsid w:val="2C0E55A1"/>
    <w:rsid w:val="2C425BCE"/>
    <w:rsid w:val="2C44676A"/>
    <w:rsid w:val="2C4A080C"/>
    <w:rsid w:val="2C54533B"/>
    <w:rsid w:val="2C591378"/>
    <w:rsid w:val="2C8F4862"/>
    <w:rsid w:val="2C9E5AC8"/>
    <w:rsid w:val="2CA2721B"/>
    <w:rsid w:val="2CB600FC"/>
    <w:rsid w:val="2D026315"/>
    <w:rsid w:val="2D0764BD"/>
    <w:rsid w:val="2D0B3169"/>
    <w:rsid w:val="2D212E40"/>
    <w:rsid w:val="2D2D2DE2"/>
    <w:rsid w:val="2D340E86"/>
    <w:rsid w:val="2D395427"/>
    <w:rsid w:val="2D3D0E02"/>
    <w:rsid w:val="2D62469E"/>
    <w:rsid w:val="2D6B40A9"/>
    <w:rsid w:val="2D8F07A3"/>
    <w:rsid w:val="2D9767DC"/>
    <w:rsid w:val="2D980DDC"/>
    <w:rsid w:val="2D987372"/>
    <w:rsid w:val="2DCE5F69"/>
    <w:rsid w:val="2DDD4F0A"/>
    <w:rsid w:val="2E34792A"/>
    <w:rsid w:val="2E437E73"/>
    <w:rsid w:val="2E5034DC"/>
    <w:rsid w:val="2E572AB9"/>
    <w:rsid w:val="2E7258DC"/>
    <w:rsid w:val="2E79458E"/>
    <w:rsid w:val="2E797A78"/>
    <w:rsid w:val="2E7C6A94"/>
    <w:rsid w:val="2E8321A5"/>
    <w:rsid w:val="2E9F6D95"/>
    <w:rsid w:val="2EAE350B"/>
    <w:rsid w:val="2EBC2287"/>
    <w:rsid w:val="2ECA3116"/>
    <w:rsid w:val="2EDD7896"/>
    <w:rsid w:val="2EEA6E65"/>
    <w:rsid w:val="2F00052B"/>
    <w:rsid w:val="2F0367CD"/>
    <w:rsid w:val="2F1251F2"/>
    <w:rsid w:val="2F2268D6"/>
    <w:rsid w:val="2F4F6FBB"/>
    <w:rsid w:val="2F664E2B"/>
    <w:rsid w:val="2F6C7BE3"/>
    <w:rsid w:val="2F783485"/>
    <w:rsid w:val="2F7F5C0B"/>
    <w:rsid w:val="2FA6492D"/>
    <w:rsid w:val="2FD71CA4"/>
    <w:rsid w:val="2FF93066"/>
    <w:rsid w:val="301A71CE"/>
    <w:rsid w:val="301E049B"/>
    <w:rsid w:val="304478EC"/>
    <w:rsid w:val="30962F3E"/>
    <w:rsid w:val="30AA2585"/>
    <w:rsid w:val="30C16A19"/>
    <w:rsid w:val="30D32236"/>
    <w:rsid w:val="30FF2795"/>
    <w:rsid w:val="310375CD"/>
    <w:rsid w:val="311611B3"/>
    <w:rsid w:val="314E236F"/>
    <w:rsid w:val="315E0B07"/>
    <w:rsid w:val="31621F46"/>
    <w:rsid w:val="316E7CA0"/>
    <w:rsid w:val="317206BF"/>
    <w:rsid w:val="317932EA"/>
    <w:rsid w:val="317E5000"/>
    <w:rsid w:val="31B718F2"/>
    <w:rsid w:val="31EF7EE8"/>
    <w:rsid w:val="320901F5"/>
    <w:rsid w:val="320B7CCB"/>
    <w:rsid w:val="32105DE8"/>
    <w:rsid w:val="3235187E"/>
    <w:rsid w:val="323B6798"/>
    <w:rsid w:val="32537B57"/>
    <w:rsid w:val="325F618E"/>
    <w:rsid w:val="32757E99"/>
    <w:rsid w:val="328F5534"/>
    <w:rsid w:val="329A6ACE"/>
    <w:rsid w:val="32A230DB"/>
    <w:rsid w:val="32DF351E"/>
    <w:rsid w:val="32EE5E41"/>
    <w:rsid w:val="32FD7C76"/>
    <w:rsid w:val="330C22FC"/>
    <w:rsid w:val="33540E5D"/>
    <w:rsid w:val="335A0521"/>
    <w:rsid w:val="335E7B11"/>
    <w:rsid w:val="3364318B"/>
    <w:rsid w:val="33691888"/>
    <w:rsid w:val="336A499A"/>
    <w:rsid w:val="33714830"/>
    <w:rsid w:val="33737F51"/>
    <w:rsid w:val="337964FF"/>
    <w:rsid w:val="337D34FB"/>
    <w:rsid w:val="33BF4199"/>
    <w:rsid w:val="340D25F6"/>
    <w:rsid w:val="342B76C7"/>
    <w:rsid w:val="343A1527"/>
    <w:rsid w:val="34447898"/>
    <w:rsid w:val="344E62FA"/>
    <w:rsid w:val="3472234D"/>
    <w:rsid w:val="347D500F"/>
    <w:rsid w:val="34872D27"/>
    <w:rsid w:val="349164BD"/>
    <w:rsid w:val="34BD02AE"/>
    <w:rsid w:val="34DA26A8"/>
    <w:rsid w:val="34E960F1"/>
    <w:rsid w:val="350B42D5"/>
    <w:rsid w:val="350F6258"/>
    <w:rsid w:val="351A603C"/>
    <w:rsid w:val="351A7503"/>
    <w:rsid w:val="352821F6"/>
    <w:rsid w:val="35387F19"/>
    <w:rsid w:val="3539550B"/>
    <w:rsid w:val="356678B4"/>
    <w:rsid w:val="3573649F"/>
    <w:rsid w:val="357E4B0A"/>
    <w:rsid w:val="358F6BDF"/>
    <w:rsid w:val="35C06D50"/>
    <w:rsid w:val="35D24294"/>
    <w:rsid w:val="35FF6F3C"/>
    <w:rsid w:val="36121506"/>
    <w:rsid w:val="361D7A43"/>
    <w:rsid w:val="361F3323"/>
    <w:rsid w:val="36402EFA"/>
    <w:rsid w:val="36496A51"/>
    <w:rsid w:val="365623F6"/>
    <w:rsid w:val="368230C6"/>
    <w:rsid w:val="368F7E4F"/>
    <w:rsid w:val="369F633B"/>
    <w:rsid w:val="36A30FDB"/>
    <w:rsid w:val="36A7007C"/>
    <w:rsid w:val="36B24AE8"/>
    <w:rsid w:val="36BD0DC4"/>
    <w:rsid w:val="36D51D00"/>
    <w:rsid w:val="36D66B5E"/>
    <w:rsid w:val="36E93760"/>
    <w:rsid w:val="36FB4305"/>
    <w:rsid w:val="3708597F"/>
    <w:rsid w:val="370F7060"/>
    <w:rsid w:val="37134801"/>
    <w:rsid w:val="37173233"/>
    <w:rsid w:val="37226558"/>
    <w:rsid w:val="3734159D"/>
    <w:rsid w:val="37382526"/>
    <w:rsid w:val="3758590A"/>
    <w:rsid w:val="37602E60"/>
    <w:rsid w:val="378229A7"/>
    <w:rsid w:val="3784394E"/>
    <w:rsid w:val="37943BB5"/>
    <w:rsid w:val="37987437"/>
    <w:rsid w:val="37B4184F"/>
    <w:rsid w:val="37C94031"/>
    <w:rsid w:val="37CA042E"/>
    <w:rsid w:val="37D44549"/>
    <w:rsid w:val="37D77B09"/>
    <w:rsid w:val="37D97EDE"/>
    <w:rsid w:val="382E392C"/>
    <w:rsid w:val="38342E90"/>
    <w:rsid w:val="383B77FA"/>
    <w:rsid w:val="384B7332"/>
    <w:rsid w:val="385056AF"/>
    <w:rsid w:val="38706DCB"/>
    <w:rsid w:val="388E5848"/>
    <w:rsid w:val="38BD31EE"/>
    <w:rsid w:val="38CB3BDF"/>
    <w:rsid w:val="38D33D29"/>
    <w:rsid w:val="38E40A5B"/>
    <w:rsid w:val="39285D57"/>
    <w:rsid w:val="394B6470"/>
    <w:rsid w:val="39872512"/>
    <w:rsid w:val="39A602F9"/>
    <w:rsid w:val="39AD217D"/>
    <w:rsid w:val="39C2316A"/>
    <w:rsid w:val="39F36281"/>
    <w:rsid w:val="39FD376D"/>
    <w:rsid w:val="39FD6C9C"/>
    <w:rsid w:val="3A16794C"/>
    <w:rsid w:val="3A226969"/>
    <w:rsid w:val="3A3F47CE"/>
    <w:rsid w:val="3A4E1C5D"/>
    <w:rsid w:val="3A523735"/>
    <w:rsid w:val="3A557AE4"/>
    <w:rsid w:val="3A6B0F84"/>
    <w:rsid w:val="3A727435"/>
    <w:rsid w:val="3A7B7DBE"/>
    <w:rsid w:val="3A94055A"/>
    <w:rsid w:val="3AC17E3A"/>
    <w:rsid w:val="3ACB5746"/>
    <w:rsid w:val="3ADD2B05"/>
    <w:rsid w:val="3AE417E3"/>
    <w:rsid w:val="3AE440AF"/>
    <w:rsid w:val="3AF7667E"/>
    <w:rsid w:val="3B113F51"/>
    <w:rsid w:val="3B2E46B1"/>
    <w:rsid w:val="3B307112"/>
    <w:rsid w:val="3B48727E"/>
    <w:rsid w:val="3B5A2A22"/>
    <w:rsid w:val="3B7804A3"/>
    <w:rsid w:val="3B8E2153"/>
    <w:rsid w:val="3B9C5796"/>
    <w:rsid w:val="3BA03B83"/>
    <w:rsid w:val="3BB20883"/>
    <w:rsid w:val="3BC34E75"/>
    <w:rsid w:val="3BCB270F"/>
    <w:rsid w:val="3BD96AA6"/>
    <w:rsid w:val="3C0429BF"/>
    <w:rsid w:val="3C1A201A"/>
    <w:rsid w:val="3C312902"/>
    <w:rsid w:val="3C371D4B"/>
    <w:rsid w:val="3C3B4B9D"/>
    <w:rsid w:val="3C413C82"/>
    <w:rsid w:val="3C471C36"/>
    <w:rsid w:val="3C734413"/>
    <w:rsid w:val="3C982C18"/>
    <w:rsid w:val="3CA734F8"/>
    <w:rsid w:val="3CC74223"/>
    <w:rsid w:val="3CDB5F96"/>
    <w:rsid w:val="3CE23F49"/>
    <w:rsid w:val="3CE93DFB"/>
    <w:rsid w:val="3CEC39B8"/>
    <w:rsid w:val="3CF720E3"/>
    <w:rsid w:val="3CF86D06"/>
    <w:rsid w:val="3D00620E"/>
    <w:rsid w:val="3D316CDB"/>
    <w:rsid w:val="3D3D6BBD"/>
    <w:rsid w:val="3D477118"/>
    <w:rsid w:val="3D594E54"/>
    <w:rsid w:val="3D62706F"/>
    <w:rsid w:val="3D6E2272"/>
    <w:rsid w:val="3D7C727A"/>
    <w:rsid w:val="3D81786B"/>
    <w:rsid w:val="3D830417"/>
    <w:rsid w:val="3D877AC5"/>
    <w:rsid w:val="3D882D35"/>
    <w:rsid w:val="3D8D2848"/>
    <w:rsid w:val="3D94235D"/>
    <w:rsid w:val="3D9461E1"/>
    <w:rsid w:val="3DB34E86"/>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02BD2"/>
    <w:rsid w:val="3F416B99"/>
    <w:rsid w:val="3F4F5AD7"/>
    <w:rsid w:val="3F6B75A6"/>
    <w:rsid w:val="3F8C0A49"/>
    <w:rsid w:val="3F913853"/>
    <w:rsid w:val="3F943FB8"/>
    <w:rsid w:val="3F9660C3"/>
    <w:rsid w:val="3FA827ED"/>
    <w:rsid w:val="3FC36557"/>
    <w:rsid w:val="3FC956FF"/>
    <w:rsid w:val="3FD13F50"/>
    <w:rsid w:val="3FDC5F31"/>
    <w:rsid w:val="3FE04625"/>
    <w:rsid w:val="3FE86CE8"/>
    <w:rsid w:val="3FFB0F66"/>
    <w:rsid w:val="40146E6B"/>
    <w:rsid w:val="403052F1"/>
    <w:rsid w:val="404469FD"/>
    <w:rsid w:val="404A2717"/>
    <w:rsid w:val="404E779F"/>
    <w:rsid w:val="4059090D"/>
    <w:rsid w:val="4065170A"/>
    <w:rsid w:val="406E5CAB"/>
    <w:rsid w:val="40713C35"/>
    <w:rsid w:val="408376F8"/>
    <w:rsid w:val="40A25054"/>
    <w:rsid w:val="40A325E0"/>
    <w:rsid w:val="40BB5383"/>
    <w:rsid w:val="40BD0DA1"/>
    <w:rsid w:val="40EC7D18"/>
    <w:rsid w:val="40ED11A0"/>
    <w:rsid w:val="40FD1BF0"/>
    <w:rsid w:val="41096BC0"/>
    <w:rsid w:val="410A75B6"/>
    <w:rsid w:val="410B452A"/>
    <w:rsid w:val="413353F1"/>
    <w:rsid w:val="41513BC9"/>
    <w:rsid w:val="41735B7F"/>
    <w:rsid w:val="41AE0F74"/>
    <w:rsid w:val="41D75714"/>
    <w:rsid w:val="41DD3BC3"/>
    <w:rsid w:val="41EE2F03"/>
    <w:rsid w:val="41F466FD"/>
    <w:rsid w:val="42002BC7"/>
    <w:rsid w:val="42026B03"/>
    <w:rsid w:val="420D197F"/>
    <w:rsid w:val="42187EBE"/>
    <w:rsid w:val="4227435A"/>
    <w:rsid w:val="424B5824"/>
    <w:rsid w:val="426973AD"/>
    <w:rsid w:val="427A67A1"/>
    <w:rsid w:val="427E0B36"/>
    <w:rsid w:val="428B7553"/>
    <w:rsid w:val="429507E8"/>
    <w:rsid w:val="42A03D98"/>
    <w:rsid w:val="42C30254"/>
    <w:rsid w:val="42C42A08"/>
    <w:rsid w:val="42D064B1"/>
    <w:rsid w:val="42DE48A3"/>
    <w:rsid w:val="42E16058"/>
    <w:rsid w:val="42F17BF5"/>
    <w:rsid w:val="42F87EC9"/>
    <w:rsid w:val="42FA45BF"/>
    <w:rsid w:val="430E7E66"/>
    <w:rsid w:val="432C613B"/>
    <w:rsid w:val="4332317A"/>
    <w:rsid w:val="433C3276"/>
    <w:rsid w:val="433F6B54"/>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B0434"/>
    <w:rsid w:val="44756A66"/>
    <w:rsid w:val="447E4EBE"/>
    <w:rsid w:val="447F0CBA"/>
    <w:rsid w:val="44957F46"/>
    <w:rsid w:val="44994CF5"/>
    <w:rsid w:val="44DC46EB"/>
    <w:rsid w:val="44F03F8F"/>
    <w:rsid w:val="44F14ECF"/>
    <w:rsid w:val="45275172"/>
    <w:rsid w:val="45332511"/>
    <w:rsid w:val="45412C46"/>
    <w:rsid w:val="45514AD5"/>
    <w:rsid w:val="4552412E"/>
    <w:rsid w:val="455908C0"/>
    <w:rsid w:val="45761EDD"/>
    <w:rsid w:val="457A7286"/>
    <w:rsid w:val="457B06AA"/>
    <w:rsid w:val="457C7D39"/>
    <w:rsid w:val="458F5163"/>
    <w:rsid w:val="459C5A47"/>
    <w:rsid w:val="45A82F38"/>
    <w:rsid w:val="45B047D1"/>
    <w:rsid w:val="45BE6191"/>
    <w:rsid w:val="45BE648C"/>
    <w:rsid w:val="45CD2126"/>
    <w:rsid w:val="460C5979"/>
    <w:rsid w:val="46143B66"/>
    <w:rsid w:val="46214325"/>
    <w:rsid w:val="463246EC"/>
    <w:rsid w:val="463A3547"/>
    <w:rsid w:val="46555DC3"/>
    <w:rsid w:val="46617DB2"/>
    <w:rsid w:val="46621065"/>
    <w:rsid w:val="46665198"/>
    <w:rsid w:val="46697236"/>
    <w:rsid w:val="46770F8B"/>
    <w:rsid w:val="467C16FA"/>
    <w:rsid w:val="46894B18"/>
    <w:rsid w:val="469448C6"/>
    <w:rsid w:val="46B80AF8"/>
    <w:rsid w:val="46D37F0B"/>
    <w:rsid w:val="46D71533"/>
    <w:rsid w:val="46E53335"/>
    <w:rsid w:val="47155D89"/>
    <w:rsid w:val="473069AF"/>
    <w:rsid w:val="474A0EAF"/>
    <w:rsid w:val="474E50BE"/>
    <w:rsid w:val="475964FC"/>
    <w:rsid w:val="47696F9C"/>
    <w:rsid w:val="47725A17"/>
    <w:rsid w:val="477D3243"/>
    <w:rsid w:val="479128A9"/>
    <w:rsid w:val="47975EDC"/>
    <w:rsid w:val="47983B19"/>
    <w:rsid w:val="47C01792"/>
    <w:rsid w:val="47C57A48"/>
    <w:rsid w:val="4808150F"/>
    <w:rsid w:val="480F51A8"/>
    <w:rsid w:val="48256B1B"/>
    <w:rsid w:val="48282713"/>
    <w:rsid w:val="484417FA"/>
    <w:rsid w:val="48450ECE"/>
    <w:rsid w:val="484759CD"/>
    <w:rsid w:val="48713351"/>
    <w:rsid w:val="48802846"/>
    <w:rsid w:val="48850157"/>
    <w:rsid w:val="48B116EA"/>
    <w:rsid w:val="48B74C7A"/>
    <w:rsid w:val="48BE32BF"/>
    <w:rsid w:val="48C354EC"/>
    <w:rsid w:val="48D429DD"/>
    <w:rsid w:val="48E01C77"/>
    <w:rsid w:val="48E22285"/>
    <w:rsid w:val="48E50D90"/>
    <w:rsid w:val="48FA15CC"/>
    <w:rsid w:val="491B63DF"/>
    <w:rsid w:val="4932285C"/>
    <w:rsid w:val="495217DF"/>
    <w:rsid w:val="498A16CD"/>
    <w:rsid w:val="49A33C27"/>
    <w:rsid w:val="49A750B5"/>
    <w:rsid w:val="49BE07DA"/>
    <w:rsid w:val="49C84AA0"/>
    <w:rsid w:val="49D7694D"/>
    <w:rsid w:val="4A255046"/>
    <w:rsid w:val="4A2E1525"/>
    <w:rsid w:val="4A5A756D"/>
    <w:rsid w:val="4A785772"/>
    <w:rsid w:val="4AA341CC"/>
    <w:rsid w:val="4AC13295"/>
    <w:rsid w:val="4AC31003"/>
    <w:rsid w:val="4AD25F33"/>
    <w:rsid w:val="4AE072CB"/>
    <w:rsid w:val="4AE93159"/>
    <w:rsid w:val="4B174032"/>
    <w:rsid w:val="4B250CF8"/>
    <w:rsid w:val="4B7C4100"/>
    <w:rsid w:val="4B830F9B"/>
    <w:rsid w:val="4B9D4011"/>
    <w:rsid w:val="4BB36BDD"/>
    <w:rsid w:val="4BC32290"/>
    <w:rsid w:val="4BD0339A"/>
    <w:rsid w:val="4BF32495"/>
    <w:rsid w:val="4C2B4DDD"/>
    <w:rsid w:val="4C562920"/>
    <w:rsid w:val="4C5D1F92"/>
    <w:rsid w:val="4C603F16"/>
    <w:rsid w:val="4C6262E0"/>
    <w:rsid w:val="4C6703A3"/>
    <w:rsid w:val="4C6D7518"/>
    <w:rsid w:val="4C923A72"/>
    <w:rsid w:val="4CE34E9F"/>
    <w:rsid w:val="4CF52D94"/>
    <w:rsid w:val="4D3205A1"/>
    <w:rsid w:val="4D462159"/>
    <w:rsid w:val="4D566017"/>
    <w:rsid w:val="4D7D3EFB"/>
    <w:rsid w:val="4D8B0123"/>
    <w:rsid w:val="4DAF14C5"/>
    <w:rsid w:val="4DB9067A"/>
    <w:rsid w:val="4DC605B6"/>
    <w:rsid w:val="4DD732D2"/>
    <w:rsid w:val="4DEC0985"/>
    <w:rsid w:val="4E0538A3"/>
    <w:rsid w:val="4E0E6818"/>
    <w:rsid w:val="4E27683A"/>
    <w:rsid w:val="4E4C50A3"/>
    <w:rsid w:val="4E510698"/>
    <w:rsid w:val="4E576363"/>
    <w:rsid w:val="4E635567"/>
    <w:rsid w:val="4E742982"/>
    <w:rsid w:val="4E9C0636"/>
    <w:rsid w:val="4EA30DB6"/>
    <w:rsid w:val="4EA7341F"/>
    <w:rsid w:val="4ED13692"/>
    <w:rsid w:val="4EDB58B2"/>
    <w:rsid w:val="4EE925CE"/>
    <w:rsid w:val="4EEF0E3D"/>
    <w:rsid w:val="4EEF2E30"/>
    <w:rsid w:val="4EF24828"/>
    <w:rsid w:val="4EFE7F59"/>
    <w:rsid w:val="4F285975"/>
    <w:rsid w:val="4F2A7BF3"/>
    <w:rsid w:val="4F2E2624"/>
    <w:rsid w:val="4F4E1077"/>
    <w:rsid w:val="4F546156"/>
    <w:rsid w:val="4F6864F4"/>
    <w:rsid w:val="4F844A99"/>
    <w:rsid w:val="4F94662C"/>
    <w:rsid w:val="4FB00163"/>
    <w:rsid w:val="4FB20773"/>
    <w:rsid w:val="4FB208E7"/>
    <w:rsid w:val="4FE30332"/>
    <w:rsid w:val="4FE70BB4"/>
    <w:rsid w:val="4FE73C01"/>
    <w:rsid w:val="4FE87C31"/>
    <w:rsid w:val="500815B6"/>
    <w:rsid w:val="500B39BC"/>
    <w:rsid w:val="5022123F"/>
    <w:rsid w:val="502B7315"/>
    <w:rsid w:val="503F32CF"/>
    <w:rsid w:val="5041152A"/>
    <w:rsid w:val="507E1B25"/>
    <w:rsid w:val="508E3B94"/>
    <w:rsid w:val="508E4492"/>
    <w:rsid w:val="5090223F"/>
    <w:rsid w:val="50924591"/>
    <w:rsid w:val="50AB5EB6"/>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A2793A"/>
    <w:rsid w:val="51D129CA"/>
    <w:rsid w:val="51D93F8A"/>
    <w:rsid w:val="51E5046A"/>
    <w:rsid w:val="52272B85"/>
    <w:rsid w:val="523E09B5"/>
    <w:rsid w:val="52687B2A"/>
    <w:rsid w:val="527901C6"/>
    <w:rsid w:val="52A24532"/>
    <w:rsid w:val="52B3363A"/>
    <w:rsid w:val="52C4763C"/>
    <w:rsid w:val="52DE691D"/>
    <w:rsid w:val="52E04D27"/>
    <w:rsid w:val="52ED0C96"/>
    <w:rsid w:val="53061721"/>
    <w:rsid w:val="530C0E6B"/>
    <w:rsid w:val="532F77EA"/>
    <w:rsid w:val="533B7F54"/>
    <w:rsid w:val="535009E1"/>
    <w:rsid w:val="53650168"/>
    <w:rsid w:val="536C2A29"/>
    <w:rsid w:val="538859E4"/>
    <w:rsid w:val="53A20FFA"/>
    <w:rsid w:val="53A233E4"/>
    <w:rsid w:val="53A94C48"/>
    <w:rsid w:val="53AE5EA5"/>
    <w:rsid w:val="53B00B1F"/>
    <w:rsid w:val="53D6247A"/>
    <w:rsid w:val="53DB3477"/>
    <w:rsid w:val="53E77CBF"/>
    <w:rsid w:val="53FE7128"/>
    <w:rsid w:val="54247F22"/>
    <w:rsid w:val="542C29CD"/>
    <w:rsid w:val="542F1551"/>
    <w:rsid w:val="54381756"/>
    <w:rsid w:val="545A1EBF"/>
    <w:rsid w:val="54B06F11"/>
    <w:rsid w:val="54B56DF4"/>
    <w:rsid w:val="54B93943"/>
    <w:rsid w:val="54BE5578"/>
    <w:rsid w:val="54BF52B5"/>
    <w:rsid w:val="54D202CA"/>
    <w:rsid w:val="54DD41DB"/>
    <w:rsid w:val="54ED3D78"/>
    <w:rsid w:val="54F52BA3"/>
    <w:rsid w:val="54F54E04"/>
    <w:rsid w:val="550D5CFC"/>
    <w:rsid w:val="55197997"/>
    <w:rsid w:val="5521584C"/>
    <w:rsid w:val="552A6B56"/>
    <w:rsid w:val="5532385A"/>
    <w:rsid w:val="554748F2"/>
    <w:rsid w:val="554D414C"/>
    <w:rsid w:val="554E7279"/>
    <w:rsid w:val="55594FFB"/>
    <w:rsid w:val="55757FB9"/>
    <w:rsid w:val="55884237"/>
    <w:rsid w:val="558C7FAA"/>
    <w:rsid w:val="55A25EB7"/>
    <w:rsid w:val="55A82784"/>
    <w:rsid w:val="55A97512"/>
    <w:rsid w:val="55B130F4"/>
    <w:rsid w:val="55B63FD5"/>
    <w:rsid w:val="55C35A76"/>
    <w:rsid w:val="55D40743"/>
    <w:rsid w:val="55DD6F2A"/>
    <w:rsid w:val="55E02B9E"/>
    <w:rsid w:val="55E8339E"/>
    <w:rsid w:val="55F06771"/>
    <w:rsid w:val="56040A85"/>
    <w:rsid w:val="56106284"/>
    <w:rsid w:val="5632642A"/>
    <w:rsid w:val="56375B61"/>
    <w:rsid w:val="564944F4"/>
    <w:rsid w:val="564E5820"/>
    <w:rsid w:val="56630C00"/>
    <w:rsid w:val="567739D2"/>
    <w:rsid w:val="5686536D"/>
    <w:rsid w:val="568B1DB1"/>
    <w:rsid w:val="56A55214"/>
    <w:rsid w:val="56A67978"/>
    <w:rsid w:val="56AE356B"/>
    <w:rsid w:val="56C1700B"/>
    <w:rsid w:val="56D25618"/>
    <w:rsid w:val="56E84A97"/>
    <w:rsid w:val="57011F3E"/>
    <w:rsid w:val="5705646B"/>
    <w:rsid w:val="57060649"/>
    <w:rsid w:val="5732705F"/>
    <w:rsid w:val="57351D6F"/>
    <w:rsid w:val="576476C1"/>
    <w:rsid w:val="577B3337"/>
    <w:rsid w:val="57A33734"/>
    <w:rsid w:val="57A33BD7"/>
    <w:rsid w:val="57AB6ADD"/>
    <w:rsid w:val="57BD72A7"/>
    <w:rsid w:val="57BE5838"/>
    <w:rsid w:val="57FC07D9"/>
    <w:rsid w:val="57FF6992"/>
    <w:rsid w:val="580F1B21"/>
    <w:rsid w:val="581B7E79"/>
    <w:rsid w:val="582957A7"/>
    <w:rsid w:val="58500F22"/>
    <w:rsid w:val="58587379"/>
    <w:rsid w:val="586D57A3"/>
    <w:rsid w:val="587917A0"/>
    <w:rsid w:val="587A4288"/>
    <w:rsid w:val="58822B40"/>
    <w:rsid w:val="58AD27D9"/>
    <w:rsid w:val="58B9636C"/>
    <w:rsid w:val="58C37133"/>
    <w:rsid w:val="58C93046"/>
    <w:rsid w:val="58D36BCB"/>
    <w:rsid w:val="58E6349C"/>
    <w:rsid w:val="58EF63EE"/>
    <w:rsid w:val="59075000"/>
    <w:rsid w:val="593559FD"/>
    <w:rsid w:val="594079B2"/>
    <w:rsid w:val="5987482A"/>
    <w:rsid w:val="599C49A8"/>
    <w:rsid w:val="59A36725"/>
    <w:rsid w:val="59B21BF9"/>
    <w:rsid w:val="59BB4EA3"/>
    <w:rsid w:val="59E9525B"/>
    <w:rsid w:val="5A3C0F08"/>
    <w:rsid w:val="5A3E5B83"/>
    <w:rsid w:val="5A5663A3"/>
    <w:rsid w:val="5A571746"/>
    <w:rsid w:val="5A6253E3"/>
    <w:rsid w:val="5A8E6670"/>
    <w:rsid w:val="5A912613"/>
    <w:rsid w:val="5A953D41"/>
    <w:rsid w:val="5ABC50F4"/>
    <w:rsid w:val="5ACC4940"/>
    <w:rsid w:val="5AD86A6D"/>
    <w:rsid w:val="5AEC14F6"/>
    <w:rsid w:val="5AF124A4"/>
    <w:rsid w:val="5B28192B"/>
    <w:rsid w:val="5B5D127D"/>
    <w:rsid w:val="5B66707B"/>
    <w:rsid w:val="5B673066"/>
    <w:rsid w:val="5B785E83"/>
    <w:rsid w:val="5B7C1CD1"/>
    <w:rsid w:val="5B9251EF"/>
    <w:rsid w:val="5BAB5BC4"/>
    <w:rsid w:val="5BB20B74"/>
    <w:rsid w:val="5BC677D8"/>
    <w:rsid w:val="5BEB0120"/>
    <w:rsid w:val="5C097C4E"/>
    <w:rsid w:val="5C1A3A93"/>
    <w:rsid w:val="5C235386"/>
    <w:rsid w:val="5C3B6CFC"/>
    <w:rsid w:val="5C4A252A"/>
    <w:rsid w:val="5C4C2CF4"/>
    <w:rsid w:val="5C6B1600"/>
    <w:rsid w:val="5C7D70D1"/>
    <w:rsid w:val="5C8542A8"/>
    <w:rsid w:val="5CA6294E"/>
    <w:rsid w:val="5CDB3358"/>
    <w:rsid w:val="5D034EE9"/>
    <w:rsid w:val="5D0366E8"/>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85AA3"/>
    <w:rsid w:val="600E362B"/>
    <w:rsid w:val="60183392"/>
    <w:rsid w:val="601A4CB1"/>
    <w:rsid w:val="602C236D"/>
    <w:rsid w:val="603967D7"/>
    <w:rsid w:val="60470CE3"/>
    <w:rsid w:val="60673C40"/>
    <w:rsid w:val="606A52D4"/>
    <w:rsid w:val="607C3753"/>
    <w:rsid w:val="608A7465"/>
    <w:rsid w:val="608D1D4E"/>
    <w:rsid w:val="6092569C"/>
    <w:rsid w:val="60AD0357"/>
    <w:rsid w:val="60B004BE"/>
    <w:rsid w:val="60C30855"/>
    <w:rsid w:val="60C338B1"/>
    <w:rsid w:val="60D4742F"/>
    <w:rsid w:val="60D95276"/>
    <w:rsid w:val="60E06DEB"/>
    <w:rsid w:val="60E51841"/>
    <w:rsid w:val="61110088"/>
    <w:rsid w:val="61421EFD"/>
    <w:rsid w:val="615C5041"/>
    <w:rsid w:val="6182260C"/>
    <w:rsid w:val="61FF316E"/>
    <w:rsid w:val="621542CB"/>
    <w:rsid w:val="624263A2"/>
    <w:rsid w:val="625272C3"/>
    <w:rsid w:val="62715337"/>
    <w:rsid w:val="6280204D"/>
    <w:rsid w:val="6290769B"/>
    <w:rsid w:val="62A411F8"/>
    <w:rsid w:val="62BA7A46"/>
    <w:rsid w:val="62C376AC"/>
    <w:rsid w:val="62CE13CB"/>
    <w:rsid w:val="62D2197B"/>
    <w:rsid w:val="62F6011A"/>
    <w:rsid w:val="6327422B"/>
    <w:rsid w:val="633B249F"/>
    <w:rsid w:val="6359778B"/>
    <w:rsid w:val="635B63E3"/>
    <w:rsid w:val="638378AD"/>
    <w:rsid w:val="638C3395"/>
    <w:rsid w:val="63BA3154"/>
    <w:rsid w:val="63CA2E8B"/>
    <w:rsid w:val="63F47D2A"/>
    <w:rsid w:val="63FE2D33"/>
    <w:rsid w:val="64264A79"/>
    <w:rsid w:val="64304E58"/>
    <w:rsid w:val="64311867"/>
    <w:rsid w:val="64391ED3"/>
    <w:rsid w:val="6445632E"/>
    <w:rsid w:val="648939AA"/>
    <w:rsid w:val="649B1AC2"/>
    <w:rsid w:val="64A7467B"/>
    <w:rsid w:val="64C86505"/>
    <w:rsid w:val="64FE700F"/>
    <w:rsid w:val="6506609B"/>
    <w:rsid w:val="65083216"/>
    <w:rsid w:val="653B38C1"/>
    <w:rsid w:val="65460728"/>
    <w:rsid w:val="65870C45"/>
    <w:rsid w:val="6594449A"/>
    <w:rsid w:val="65AA6346"/>
    <w:rsid w:val="65B56C47"/>
    <w:rsid w:val="65B8262E"/>
    <w:rsid w:val="65BC15EE"/>
    <w:rsid w:val="65D4773F"/>
    <w:rsid w:val="65DC5939"/>
    <w:rsid w:val="65DC7985"/>
    <w:rsid w:val="65F14641"/>
    <w:rsid w:val="65F5655C"/>
    <w:rsid w:val="66052F43"/>
    <w:rsid w:val="6609487E"/>
    <w:rsid w:val="661B1F8F"/>
    <w:rsid w:val="66206CF2"/>
    <w:rsid w:val="66265846"/>
    <w:rsid w:val="66287C9C"/>
    <w:rsid w:val="664805B8"/>
    <w:rsid w:val="665B55EA"/>
    <w:rsid w:val="66655F85"/>
    <w:rsid w:val="667C7AEC"/>
    <w:rsid w:val="66984358"/>
    <w:rsid w:val="669B7C76"/>
    <w:rsid w:val="66A200F8"/>
    <w:rsid w:val="66A30EC2"/>
    <w:rsid w:val="66AA4BA8"/>
    <w:rsid w:val="66DC317D"/>
    <w:rsid w:val="670C6D27"/>
    <w:rsid w:val="670D67CE"/>
    <w:rsid w:val="67105BAB"/>
    <w:rsid w:val="671B1631"/>
    <w:rsid w:val="67302DC3"/>
    <w:rsid w:val="674318B2"/>
    <w:rsid w:val="674D4B22"/>
    <w:rsid w:val="67570422"/>
    <w:rsid w:val="675D31B4"/>
    <w:rsid w:val="676D2F4B"/>
    <w:rsid w:val="677A266A"/>
    <w:rsid w:val="677C1A81"/>
    <w:rsid w:val="67B163D1"/>
    <w:rsid w:val="67B541FF"/>
    <w:rsid w:val="67F45538"/>
    <w:rsid w:val="680239EB"/>
    <w:rsid w:val="680722DA"/>
    <w:rsid w:val="682211D1"/>
    <w:rsid w:val="685C6395"/>
    <w:rsid w:val="686318DD"/>
    <w:rsid w:val="68635145"/>
    <w:rsid w:val="687F607E"/>
    <w:rsid w:val="68A34C5C"/>
    <w:rsid w:val="68E24981"/>
    <w:rsid w:val="691C3525"/>
    <w:rsid w:val="69216128"/>
    <w:rsid w:val="69280874"/>
    <w:rsid w:val="695D6B21"/>
    <w:rsid w:val="69611EE7"/>
    <w:rsid w:val="696C708E"/>
    <w:rsid w:val="696F4D5D"/>
    <w:rsid w:val="69850877"/>
    <w:rsid w:val="698C13C5"/>
    <w:rsid w:val="699D0833"/>
    <w:rsid w:val="69F0745A"/>
    <w:rsid w:val="6A1D59EC"/>
    <w:rsid w:val="6A247F72"/>
    <w:rsid w:val="6A3E2393"/>
    <w:rsid w:val="6A435B92"/>
    <w:rsid w:val="6A444DB8"/>
    <w:rsid w:val="6A4D4828"/>
    <w:rsid w:val="6A516AC3"/>
    <w:rsid w:val="6A5303BA"/>
    <w:rsid w:val="6A677080"/>
    <w:rsid w:val="6A711183"/>
    <w:rsid w:val="6A7B4B9C"/>
    <w:rsid w:val="6AAF014C"/>
    <w:rsid w:val="6ACB082B"/>
    <w:rsid w:val="6AD3247E"/>
    <w:rsid w:val="6B2B0EFD"/>
    <w:rsid w:val="6B2C13E4"/>
    <w:rsid w:val="6B5045E2"/>
    <w:rsid w:val="6B736A2E"/>
    <w:rsid w:val="6B884219"/>
    <w:rsid w:val="6B90781F"/>
    <w:rsid w:val="6B977E68"/>
    <w:rsid w:val="6BA9194F"/>
    <w:rsid w:val="6BD43415"/>
    <w:rsid w:val="6BE727F5"/>
    <w:rsid w:val="6C240DF3"/>
    <w:rsid w:val="6C45610F"/>
    <w:rsid w:val="6C59472D"/>
    <w:rsid w:val="6C603744"/>
    <w:rsid w:val="6C637CCF"/>
    <w:rsid w:val="6C7C3F4D"/>
    <w:rsid w:val="6C89456C"/>
    <w:rsid w:val="6CA20D5B"/>
    <w:rsid w:val="6CD63FB3"/>
    <w:rsid w:val="6D056EA6"/>
    <w:rsid w:val="6D221E52"/>
    <w:rsid w:val="6D227835"/>
    <w:rsid w:val="6D3C6626"/>
    <w:rsid w:val="6D5D0DB5"/>
    <w:rsid w:val="6D6855B1"/>
    <w:rsid w:val="6D7B4AB7"/>
    <w:rsid w:val="6D876EE3"/>
    <w:rsid w:val="6D89784B"/>
    <w:rsid w:val="6D9E0566"/>
    <w:rsid w:val="6DF43BD4"/>
    <w:rsid w:val="6E2143FB"/>
    <w:rsid w:val="6E317378"/>
    <w:rsid w:val="6E4B0158"/>
    <w:rsid w:val="6E4D611F"/>
    <w:rsid w:val="6E567C9E"/>
    <w:rsid w:val="6E635028"/>
    <w:rsid w:val="6E636A71"/>
    <w:rsid w:val="6E685B0A"/>
    <w:rsid w:val="6E73404A"/>
    <w:rsid w:val="6E7355AA"/>
    <w:rsid w:val="6E990B16"/>
    <w:rsid w:val="6EB169D3"/>
    <w:rsid w:val="6EB829B1"/>
    <w:rsid w:val="6ECC3A24"/>
    <w:rsid w:val="6ED86D3E"/>
    <w:rsid w:val="6EE9744F"/>
    <w:rsid w:val="6EEC3F7C"/>
    <w:rsid w:val="6EFE1485"/>
    <w:rsid w:val="6F0D382C"/>
    <w:rsid w:val="6F2632E8"/>
    <w:rsid w:val="6F30363A"/>
    <w:rsid w:val="6F3316E5"/>
    <w:rsid w:val="6F3F40F9"/>
    <w:rsid w:val="6F6F14E1"/>
    <w:rsid w:val="6F7532AD"/>
    <w:rsid w:val="6FA629D4"/>
    <w:rsid w:val="6FB77ED4"/>
    <w:rsid w:val="6FBD4D2F"/>
    <w:rsid w:val="6FBF4710"/>
    <w:rsid w:val="6FDB518F"/>
    <w:rsid w:val="6FE529ED"/>
    <w:rsid w:val="6FF733A7"/>
    <w:rsid w:val="70003DD9"/>
    <w:rsid w:val="70072915"/>
    <w:rsid w:val="70172090"/>
    <w:rsid w:val="701D43BA"/>
    <w:rsid w:val="7032079E"/>
    <w:rsid w:val="703C186A"/>
    <w:rsid w:val="70570007"/>
    <w:rsid w:val="70822BAD"/>
    <w:rsid w:val="708746BC"/>
    <w:rsid w:val="708F7F54"/>
    <w:rsid w:val="709E3D85"/>
    <w:rsid w:val="70AC660B"/>
    <w:rsid w:val="70B17138"/>
    <w:rsid w:val="70BB2EF0"/>
    <w:rsid w:val="70BC2801"/>
    <w:rsid w:val="70C6646C"/>
    <w:rsid w:val="71015D6B"/>
    <w:rsid w:val="71151975"/>
    <w:rsid w:val="71336A65"/>
    <w:rsid w:val="71545B37"/>
    <w:rsid w:val="71573E01"/>
    <w:rsid w:val="71702748"/>
    <w:rsid w:val="71867894"/>
    <w:rsid w:val="719F7A78"/>
    <w:rsid w:val="71C7540C"/>
    <w:rsid w:val="71F870B8"/>
    <w:rsid w:val="72021233"/>
    <w:rsid w:val="720B2A1D"/>
    <w:rsid w:val="720F28E4"/>
    <w:rsid w:val="727C422C"/>
    <w:rsid w:val="7292045A"/>
    <w:rsid w:val="72974DBE"/>
    <w:rsid w:val="72A20C20"/>
    <w:rsid w:val="72AC5E95"/>
    <w:rsid w:val="72C13ED7"/>
    <w:rsid w:val="72CF1AC7"/>
    <w:rsid w:val="72E85578"/>
    <w:rsid w:val="72FD426E"/>
    <w:rsid w:val="73043CFC"/>
    <w:rsid w:val="732C334F"/>
    <w:rsid w:val="734F0C79"/>
    <w:rsid w:val="734F4185"/>
    <w:rsid w:val="73520620"/>
    <w:rsid w:val="7363274A"/>
    <w:rsid w:val="738A6895"/>
    <w:rsid w:val="73BC7089"/>
    <w:rsid w:val="73BE7067"/>
    <w:rsid w:val="73E52294"/>
    <w:rsid w:val="73FF2D64"/>
    <w:rsid w:val="74257F79"/>
    <w:rsid w:val="74273820"/>
    <w:rsid w:val="7427471C"/>
    <w:rsid w:val="74355B0B"/>
    <w:rsid w:val="743C7157"/>
    <w:rsid w:val="74416F54"/>
    <w:rsid w:val="744B354F"/>
    <w:rsid w:val="7450294E"/>
    <w:rsid w:val="746B732F"/>
    <w:rsid w:val="746E18CB"/>
    <w:rsid w:val="748D52FA"/>
    <w:rsid w:val="74993216"/>
    <w:rsid w:val="74B808BF"/>
    <w:rsid w:val="75084E8F"/>
    <w:rsid w:val="75202656"/>
    <w:rsid w:val="75752B04"/>
    <w:rsid w:val="758910BB"/>
    <w:rsid w:val="75955DA9"/>
    <w:rsid w:val="75977910"/>
    <w:rsid w:val="759F2A35"/>
    <w:rsid w:val="75B15C41"/>
    <w:rsid w:val="75D12923"/>
    <w:rsid w:val="75F20996"/>
    <w:rsid w:val="75F85D42"/>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8E4170"/>
    <w:rsid w:val="779258CC"/>
    <w:rsid w:val="7794068F"/>
    <w:rsid w:val="779A096B"/>
    <w:rsid w:val="779B52FF"/>
    <w:rsid w:val="77A00E75"/>
    <w:rsid w:val="77A80D17"/>
    <w:rsid w:val="77B841F3"/>
    <w:rsid w:val="77C078B1"/>
    <w:rsid w:val="77E66E3C"/>
    <w:rsid w:val="77F3789A"/>
    <w:rsid w:val="780326B9"/>
    <w:rsid w:val="7833711D"/>
    <w:rsid w:val="78497C2E"/>
    <w:rsid w:val="7854087B"/>
    <w:rsid w:val="786A4053"/>
    <w:rsid w:val="78782A0D"/>
    <w:rsid w:val="787B5060"/>
    <w:rsid w:val="788720E7"/>
    <w:rsid w:val="78A90B04"/>
    <w:rsid w:val="78C76A01"/>
    <w:rsid w:val="78EC45D8"/>
    <w:rsid w:val="78EC6DF0"/>
    <w:rsid w:val="791843E7"/>
    <w:rsid w:val="79395A92"/>
    <w:rsid w:val="794008FB"/>
    <w:rsid w:val="794708D9"/>
    <w:rsid w:val="794B21A1"/>
    <w:rsid w:val="7957704F"/>
    <w:rsid w:val="7964574A"/>
    <w:rsid w:val="79941CF2"/>
    <w:rsid w:val="79973382"/>
    <w:rsid w:val="79D33056"/>
    <w:rsid w:val="79EC0256"/>
    <w:rsid w:val="79F60153"/>
    <w:rsid w:val="79FB6E2C"/>
    <w:rsid w:val="7A4C2D60"/>
    <w:rsid w:val="7A6E4BF5"/>
    <w:rsid w:val="7A851D5D"/>
    <w:rsid w:val="7A8A2267"/>
    <w:rsid w:val="7AB53126"/>
    <w:rsid w:val="7AB76FE8"/>
    <w:rsid w:val="7AD268E2"/>
    <w:rsid w:val="7ADC0B33"/>
    <w:rsid w:val="7AE14C19"/>
    <w:rsid w:val="7AEA174E"/>
    <w:rsid w:val="7B274176"/>
    <w:rsid w:val="7B401C79"/>
    <w:rsid w:val="7B4678D7"/>
    <w:rsid w:val="7B4B2A93"/>
    <w:rsid w:val="7B527515"/>
    <w:rsid w:val="7B890A24"/>
    <w:rsid w:val="7BAA485C"/>
    <w:rsid w:val="7BAD1591"/>
    <w:rsid w:val="7BD3716B"/>
    <w:rsid w:val="7BF55850"/>
    <w:rsid w:val="7C1054B7"/>
    <w:rsid w:val="7C26369C"/>
    <w:rsid w:val="7C2A465C"/>
    <w:rsid w:val="7C305879"/>
    <w:rsid w:val="7C34521A"/>
    <w:rsid w:val="7C4A2BD1"/>
    <w:rsid w:val="7C576C70"/>
    <w:rsid w:val="7C77043F"/>
    <w:rsid w:val="7C893D86"/>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834A16"/>
    <w:rsid w:val="7D9D438F"/>
    <w:rsid w:val="7DA514D2"/>
    <w:rsid w:val="7DCD4EB5"/>
    <w:rsid w:val="7E090313"/>
    <w:rsid w:val="7E1B6C04"/>
    <w:rsid w:val="7E3E0FEC"/>
    <w:rsid w:val="7E3E1EF2"/>
    <w:rsid w:val="7E5C1ABA"/>
    <w:rsid w:val="7E622778"/>
    <w:rsid w:val="7E756346"/>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542B37"/>
    <w:rsid w:val="7F6B2248"/>
    <w:rsid w:val="7F7D7A8E"/>
    <w:rsid w:val="7F872588"/>
    <w:rsid w:val="7F8725BA"/>
    <w:rsid w:val="7F8C6A8F"/>
    <w:rsid w:val="7F9C175D"/>
    <w:rsid w:val="7FA85877"/>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17</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2022-08-10T13:09:52Z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